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7800" w14:textId="14827C9D" w:rsidR="00186AB9" w:rsidRPr="005B0699" w:rsidRDefault="00186AB9" w:rsidP="005B0699">
      <w:pPr>
        <w:pStyle w:val="Heading2"/>
      </w:pPr>
      <w:r w:rsidRPr="005B0699">
        <w:t>Stockport Local Plan</w:t>
      </w:r>
      <w:r w:rsidR="005B0699" w:rsidRPr="005B0699">
        <w:t xml:space="preserve"> </w:t>
      </w:r>
      <w:r w:rsidR="00736732">
        <w:t>-</w:t>
      </w:r>
      <w:r w:rsidRPr="005B0699">
        <w:t xml:space="preserve">How to respond to the </w:t>
      </w:r>
      <w:r w:rsidR="005C0B5B" w:rsidRPr="005B0699">
        <w:t>consultation.</w:t>
      </w:r>
    </w:p>
    <w:p w14:paraId="164312EC" w14:textId="7FE5EECF" w:rsidR="00D835AF" w:rsidRPr="009A3F1C" w:rsidRDefault="00EC7F7E" w:rsidP="00D835AF">
      <w:pPr>
        <w:rPr>
          <w:sz w:val="24"/>
          <w:szCs w:val="24"/>
        </w:rPr>
      </w:pPr>
      <w:r w:rsidRPr="009A3F1C">
        <w:rPr>
          <w:sz w:val="24"/>
          <w:szCs w:val="24"/>
        </w:rPr>
        <w:t>Respond By Portal</w:t>
      </w:r>
      <w:r w:rsidR="00D835AF" w:rsidRPr="009A3F1C">
        <w:rPr>
          <w:sz w:val="24"/>
          <w:szCs w:val="24"/>
        </w:rPr>
        <w:t xml:space="preserve"> </w:t>
      </w:r>
      <w:hyperlink r:id="rId5" w:history="1">
        <w:r w:rsidR="00D835AF" w:rsidRPr="009A3F1C">
          <w:rPr>
            <w:rStyle w:val="Hyperlink"/>
            <w:sz w:val="24"/>
            <w:szCs w:val="24"/>
          </w:rPr>
          <w:t>https://localplan.stockport.gov.uk/</w:t>
        </w:r>
      </w:hyperlink>
      <w:r w:rsidR="00D835AF" w:rsidRPr="009A3F1C">
        <w:rPr>
          <w:sz w:val="24"/>
          <w:szCs w:val="24"/>
        </w:rPr>
        <w:t xml:space="preserve"> </w:t>
      </w:r>
      <w:r w:rsidR="00736732" w:rsidRPr="00426BF1">
        <w:rPr>
          <w:b/>
          <w:bCs/>
          <w:sz w:val="24"/>
          <w:szCs w:val="24"/>
        </w:rPr>
        <w:t>From</w:t>
      </w:r>
      <w:r w:rsidR="00D835AF" w:rsidRPr="00426BF1">
        <w:rPr>
          <w:b/>
          <w:bCs/>
          <w:sz w:val="24"/>
          <w:szCs w:val="24"/>
        </w:rPr>
        <w:t xml:space="preserve"> 6</w:t>
      </w:r>
      <w:r w:rsidR="00A113FE" w:rsidRPr="00426BF1">
        <w:rPr>
          <w:b/>
          <w:bCs/>
          <w:sz w:val="24"/>
          <w:szCs w:val="24"/>
        </w:rPr>
        <w:t>-November</w:t>
      </w:r>
      <w:r w:rsidR="00736732" w:rsidRPr="00426BF1">
        <w:rPr>
          <w:b/>
          <w:bCs/>
          <w:sz w:val="24"/>
          <w:szCs w:val="24"/>
        </w:rPr>
        <w:t xml:space="preserve"> to 21</w:t>
      </w:r>
      <w:r w:rsidR="00736732" w:rsidRPr="00426BF1">
        <w:rPr>
          <w:b/>
          <w:bCs/>
          <w:sz w:val="24"/>
          <w:szCs w:val="24"/>
          <w:vertAlign w:val="superscript"/>
        </w:rPr>
        <w:t>st</w:t>
      </w:r>
      <w:r w:rsidR="00736732" w:rsidRPr="00426BF1">
        <w:rPr>
          <w:b/>
          <w:bCs/>
          <w:sz w:val="24"/>
          <w:szCs w:val="24"/>
        </w:rPr>
        <w:t xml:space="preserve"> </w:t>
      </w:r>
      <w:r w:rsidR="005C0B5B" w:rsidRPr="00426BF1">
        <w:rPr>
          <w:b/>
          <w:bCs/>
          <w:sz w:val="24"/>
          <w:szCs w:val="24"/>
        </w:rPr>
        <w:t>December.</w:t>
      </w:r>
    </w:p>
    <w:p w14:paraId="0F900D85" w14:textId="77777777" w:rsidR="00A113FE" w:rsidRPr="009A3F1C" w:rsidRDefault="00EC7F7E" w:rsidP="00A113FE">
      <w:pPr>
        <w:rPr>
          <w:sz w:val="24"/>
          <w:szCs w:val="24"/>
        </w:rPr>
      </w:pPr>
      <w:r w:rsidRPr="009A3F1C">
        <w:rPr>
          <w:sz w:val="24"/>
          <w:szCs w:val="24"/>
        </w:rPr>
        <w:t>OR email</w:t>
      </w:r>
      <w:r w:rsidR="00A113FE" w:rsidRPr="009A3F1C">
        <w:rPr>
          <w:sz w:val="24"/>
          <w:szCs w:val="24"/>
        </w:rPr>
        <w:t xml:space="preserve"> (</w:t>
      </w:r>
      <w:hyperlink r:id="rId6" w:history="1">
        <w:r w:rsidR="00A113FE" w:rsidRPr="009A3F1C">
          <w:rPr>
            <w:rStyle w:val="Hyperlink"/>
            <w:sz w:val="24"/>
            <w:szCs w:val="24"/>
          </w:rPr>
          <w:t>local.plan@stockport.gov.uk</w:t>
        </w:r>
      </w:hyperlink>
    </w:p>
    <w:p w14:paraId="142E9490" w14:textId="52088E7B" w:rsidR="00EC7F7E" w:rsidRPr="009A3F1C" w:rsidRDefault="00EC7F7E" w:rsidP="001F38B5">
      <w:pPr>
        <w:ind w:left="1440" w:hanging="1440"/>
        <w:rPr>
          <w:b/>
          <w:bCs/>
          <w:sz w:val="24"/>
          <w:szCs w:val="24"/>
        </w:rPr>
      </w:pPr>
      <w:r w:rsidRPr="009A3F1C">
        <w:rPr>
          <w:b/>
          <w:bCs/>
          <w:sz w:val="24"/>
          <w:szCs w:val="24"/>
        </w:rPr>
        <w:t>O</w:t>
      </w:r>
      <w:r w:rsidR="00A13B35" w:rsidRPr="009A3F1C">
        <w:rPr>
          <w:b/>
          <w:bCs/>
          <w:sz w:val="24"/>
          <w:szCs w:val="24"/>
        </w:rPr>
        <w:t xml:space="preserve">R Post: </w:t>
      </w:r>
      <w:r w:rsidR="0065563E" w:rsidRPr="009A3F1C">
        <w:rPr>
          <w:b/>
          <w:bCs/>
          <w:sz w:val="24"/>
          <w:szCs w:val="24"/>
        </w:rPr>
        <w:tab/>
      </w:r>
      <w:r w:rsidR="00A113FE" w:rsidRPr="009A3F1C">
        <w:rPr>
          <w:b/>
          <w:bCs/>
          <w:sz w:val="24"/>
          <w:szCs w:val="24"/>
        </w:rPr>
        <w:t xml:space="preserve">The Planning Policy Team; Stockport Metropolitan Borough </w:t>
      </w:r>
      <w:r w:rsidR="005C0B5B" w:rsidRPr="009A3F1C">
        <w:rPr>
          <w:b/>
          <w:bCs/>
          <w:sz w:val="24"/>
          <w:szCs w:val="24"/>
        </w:rPr>
        <w:t>Council.</w:t>
      </w:r>
      <w:r w:rsidR="00A113FE" w:rsidRPr="009A3F1C">
        <w:rPr>
          <w:b/>
          <w:bCs/>
          <w:sz w:val="24"/>
          <w:szCs w:val="24"/>
        </w:rPr>
        <w:t>4th Floor Stopford House</w:t>
      </w:r>
      <w:r w:rsidR="002556AE" w:rsidRPr="009A3F1C">
        <w:rPr>
          <w:b/>
          <w:bCs/>
          <w:sz w:val="24"/>
          <w:szCs w:val="24"/>
        </w:rPr>
        <w:t xml:space="preserve">; </w:t>
      </w:r>
      <w:r w:rsidR="00A113FE" w:rsidRPr="009A3F1C">
        <w:rPr>
          <w:b/>
          <w:bCs/>
          <w:sz w:val="24"/>
          <w:szCs w:val="24"/>
        </w:rPr>
        <w:t>Piccadilly</w:t>
      </w:r>
      <w:r w:rsidR="006F5708" w:rsidRPr="009A3F1C">
        <w:rPr>
          <w:b/>
          <w:bCs/>
          <w:sz w:val="24"/>
          <w:szCs w:val="24"/>
        </w:rPr>
        <w:t xml:space="preserve"> </w:t>
      </w:r>
      <w:r w:rsidR="00A113FE" w:rsidRPr="009A3F1C">
        <w:rPr>
          <w:b/>
          <w:bCs/>
          <w:sz w:val="24"/>
          <w:szCs w:val="24"/>
        </w:rPr>
        <w:t>Stockport</w:t>
      </w:r>
      <w:r w:rsidR="006F5708" w:rsidRPr="009A3F1C">
        <w:rPr>
          <w:b/>
          <w:bCs/>
          <w:sz w:val="24"/>
          <w:szCs w:val="24"/>
        </w:rPr>
        <w:t xml:space="preserve"> </w:t>
      </w:r>
      <w:r w:rsidR="00A113FE" w:rsidRPr="009A3F1C">
        <w:rPr>
          <w:b/>
          <w:bCs/>
          <w:sz w:val="24"/>
          <w:szCs w:val="24"/>
        </w:rPr>
        <w:t>SK1 3XE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3260"/>
        <w:gridCol w:w="5529"/>
      </w:tblGrid>
      <w:tr w:rsidR="00706C46" w:rsidRPr="009A3F1C" w14:paraId="4EDD9AB3" w14:textId="77777777" w:rsidTr="00AE4F78">
        <w:tc>
          <w:tcPr>
            <w:tcW w:w="1838" w:type="dxa"/>
          </w:tcPr>
          <w:p w14:paraId="4058C6FA" w14:textId="72CF6C0E" w:rsidR="00706C46" w:rsidRPr="009A3F1C" w:rsidRDefault="00706C46" w:rsidP="00A113FE">
            <w:pPr>
              <w:rPr>
                <w:b/>
                <w:bCs/>
                <w:sz w:val="24"/>
                <w:szCs w:val="24"/>
              </w:rPr>
            </w:pPr>
            <w:r w:rsidRPr="009A3F1C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260" w:type="dxa"/>
          </w:tcPr>
          <w:p w14:paraId="28D63658" w14:textId="35F6CBED" w:rsidR="00706C46" w:rsidRPr="009A3F1C" w:rsidRDefault="0039726D" w:rsidP="00A113FE">
            <w:pPr>
              <w:rPr>
                <w:b/>
                <w:bCs/>
                <w:sz w:val="24"/>
                <w:szCs w:val="24"/>
              </w:rPr>
            </w:pPr>
            <w:r w:rsidRPr="009A3F1C">
              <w:rPr>
                <w:b/>
                <w:bCs/>
                <w:sz w:val="24"/>
                <w:szCs w:val="24"/>
              </w:rPr>
              <w:t>First Name</w:t>
            </w:r>
            <w:r w:rsidR="004C7494" w:rsidRPr="009A3F1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9" w:type="dxa"/>
          </w:tcPr>
          <w:p w14:paraId="3CEF996C" w14:textId="57FA0928" w:rsidR="00706C46" w:rsidRPr="009A3F1C" w:rsidRDefault="0039726D" w:rsidP="00A113FE">
            <w:pPr>
              <w:rPr>
                <w:b/>
                <w:bCs/>
                <w:sz w:val="24"/>
                <w:szCs w:val="24"/>
              </w:rPr>
            </w:pPr>
            <w:r w:rsidRPr="009A3F1C">
              <w:rPr>
                <w:b/>
                <w:bCs/>
                <w:sz w:val="24"/>
                <w:szCs w:val="24"/>
              </w:rPr>
              <w:t>Surname</w:t>
            </w:r>
            <w:r w:rsidR="004C7494" w:rsidRPr="009A3F1C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706C46" w:rsidRPr="009A3F1C" w14:paraId="1776259C" w14:textId="77777777" w:rsidTr="00503270">
        <w:trPr>
          <w:trHeight w:val="327"/>
        </w:trPr>
        <w:tc>
          <w:tcPr>
            <w:tcW w:w="1838" w:type="dxa"/>
          </w:tcPr>
          <w:p w14:paraId="2684B665" w14:textId="77777777" w:rsidR="00706C46" w:rsidRPr="009A3F1C" w:rsidRDefault="00706C46" w:rsidP="00A113F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C5613B6" w14:textId="77777777" w:rsidR="00706C46" w:rsidRPr="009A3F1C" w:rsidRDefault="00706C46" w:rsidP="00A113FE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1D3F10D9" w14:textId="77777777" w:rsidR="00706C46" w:rsidRPr="009A3F1C" w:rsidRDefault="00706C46" w:rsidP="00A113FE">
            <w:pPr>
              <w:rPr>
                <w:sz w:val="24"/>
                <w:szCs w:val="24"/>
              </w:rPr>
            </w:pPr>
          </w:p>
        </w:tc>
      </w:tr>
      <w:tr w:rsidR="00880AE0" w:rsidRPr="009A3F1C" w14:paraId="7E11D178" w14:textId="77777777" w:rsidTr="00AE4F78">
        <w:trPr>
          <w:trHeight w:val="1113"/>
        </w:trPr>
        <w:tc>
          <w:tcPr>
            <w:tcW w:w="1838" w:type="dxa"/>
          </w:tcPr>
          <w:p w14:paraId="2A8D7DCE" w14:textId="1AD0D651" w:rsidR="00880AE0" w:rsidRPr="009A3F1C" w:rsidRDefault="00880AE0" w:rsidP="00A113FE">
            <w:pPr>
              <w:rPr>
                <w:sz w:val="24"/>
                <w:szCs w:val="24"/>
              </w:rPr>
            </w:pPr>
            <w:r w:rsidRPr="009A3F1C">
              <w:rPr>
                <w:sz w:val="24"/>
                <w:szCs w:val="24"/>
              </w:rPr>
              <w:t>Postal Adress:</w:t>
            </w:r>
          </w:p>
        </w:tc>
        <w:tc>
          <w:tcPr>
            <w:tcW w:w="8789" w:type="dxa"/>
            <w:gridSpan w:val="2"/>
          </w:tcPr>
          <w:p w14:paraId="1F05422E" w14:textId="77777777" w:rsidR="00880AE0" w:rsidRPr="009A3F1C" w:rsidRDefault="00880AE0" w:rsidP="00976E9B">
            <w:pPr>
              <w:rPr>
                <w:sz w:val="24"/>
                <w:szCs w:val="24"/>
              </w:rPr>
            </w:pPr>
          </w:p>
          <w:p w14:paraId="554C6538" w14:textId="77777777" w:rsidR="004C7494" w:rsidRPr="009A3F1C" w:rsidRDefault="004C7494" w:rsidP="00976E9B">
            <w:pPr>
              <w:rPr>
                <w:sz w:val="24"/>
                <w:szCs w:val="24"/>
              </w:rPr>
            </w:pPr>
          </w:p>
          <w:p w14:paraId="18A49C6D" w14:textId="77777777" w:rsidR="004C7494" w:rsidRPr="009A3F1C" w:rsidRDefault="004C7494" w:rsidP="00976E9B">
            <w:pPr>
              <w:rPr>
                <w:sz w:val="24"/>
                <w:szCs w:val="24"/>
              </w:rPr>
            </w:pPr>
          </w:p>
        </w:tc>
      </w:tr>
      <w:tr w:rsidR="00880AE0" w:rsidRPr="009A3F1C" w14:paraId="16E831EE" w14:textId="77777777" w:rsidTr="00503270">
        <w:trPr>
          <w:trHeight w:val="351"/>
        </w:trPr>
        <w:tc>
          <w:tcPr>
            <w:tcW w:w="1838" w:type="dxa"/>
          </w:tcPr>
          <w:p w14:paraId="5EEF5779" w14:textId="5A154157" w:rsidR="00880AE0" w:rsidRPr="009A3F1C" w:rsidRDefault="00880AE0" w:rsidP="00A113FE">
            <w:pPr>
              <w:rPr>
                <w:sz w:val="24"/>
                <w:szCs w:val="24"/>
              </w:rPr>
            </w:pPr>
            <w:r w:rsidRPr="009A3F1C">
              <w:rPr>
                <w:sz w:val="24"/>
                <w:szCs w:val="24"/>
              </w:rPr>
              <w:t>e-mail</w:t>
            </w:r>
          </w:p>
        </w:tc>
        <w:tc>
          <w:tcPr>
            <w:tcW w:w="8789" w:type="dxa"/>
            <w:gridSpan w:val="2"/>
          </w:tcPr>
          <w:p w14:paraId="362DD243" w14:textId="77777777" w:rsidR="00880AE0" w:rsidRPr="009A3F1C" w:rsidRDefault="00880AE0" w:rsidP="00A113FE">
            <w:pPr>
              <w:rPr>
                <w:sz w:val="24"/>
                <w:szCs w:val="24"/>
              </w:rPr>
            </w:pPr>
          </w:p>
        </w:tc>
      </w:tr>
    </w:tbl>
    <w:p w14:paraId="560CB2E8" w14:textId="43127435" w:rsidR="004C7494" w:rsidRPr="009A3F1C" w:rsidRDefault="004C7494" w:rsidP="00A113FE">
      <w:pPr>
        <w:rPr>
          <w:b/>
          <w:bCs/>
          <w:sz w:val="24"/>
          <w:szCs w:val="24"/>
          <w:u w:val="single"/>
        </w:rPr>
      </w:pPr>
      <w:r w:rsidRPr="009A3F1C">
        <w:rPr>
          <w:b/>
          <w:bCs/>
          <w:sz w:val="24"/>
          <w:szCs w:val="24"/>
          <w:u w:val="single"/>
        </w:rPr>
        <w:t>Comments</w:t>
      </w:r>
      <w:r w:rsidR="001F38B5">
        <w:rPr>
          <w:b/>
          <w:bCs/>
          <w:sz w:val="24"/>
          <w:szCs w:val="24"/>
          <w:u w:val="single"/>
        </w:rPr>
        <w:t xml:space="preserve"> – please include</w:t>
      </w:r>
      <w:r w:rsidRPr="009A3F1C">
        <w:rPr>
          <w:b/>
          <w:bCs/>
          <w:sz w:val="24"/>
          <w:szCs w:val="24"/>
          <w:u w:val="single"/>
        </w:rPr>
        <w:t>:</w:t>
      </w:r>
    </w:p>
    <w:p w14:paraId="4E2C50CD" w14:textId="3E4F9EEC" w:rsidR="00837338" w:rsidRPr="009A3F1C" w:rsidRDefault="00837338" w:rsidP="00837338">
      <w:pPr>
        <w:rPr>
          <w:sz w:val="24"/>
          <w:szCs w:val="24"/>
        </w:rPr>
      </w:pPr>
      <w:r w:rsidRPr="009A3F1C">
        <w:rPr>
          <w:b/>
          <w:bCs/>
          <w:sz w:val="24"/>
          <w:szCs w:val="24"/>
        </w:rPr>
        <w:t xml:space="preserve">• Name and number of the chapter, </w:t>
      </w:r>
      <w:r w:rsidR="00C0507C" w:rsidRPr="009A3F1C">
        <w:rPr>
          <w:b/>
          <w:bCs/>
          <w:sz w:val="24"/>
          <w:szCs w:val="24"/>
        </w:rPr>
        <w:t>policy,</w:t>
      </w:r>
      <w:r w:rsidRPr="009A3F1C">
        <w:rPr>
          <w:b/>
          <w:bCs/>
          <w:sz w:val="24"/>
          <w:szCs w:val="24"/>
        </w:rPr>
        <w:t xml:space="preserve"> or paragraph(s) that you are commenting </w:t>
      </w:r>
      <w:r w:rsidR="005C0B5B" w:rsidRPr="009A3F1C">
        <w:rPr>
          <w:b/>
          <w:bCs/>
          <w:sz w:val="24"/>
          <w:szCs w:val="24"/>
        </w:rPr>
        <w:t>on</w:t>
      </w:r>
      <w:r w:rsidR="005C0B5B" w:rsidRPr="009A3F1C">
        <w:rPr>
          <w:sz w:val="24"/>
          <w:szCs w:val="24"/>
        </w:rPr>
        <w:t>.</w:t>
      </w:r>
    </w:p>
    <w:p w14:paraId="15249FEB" w14:textId="7A804DCE" w:rsidR="00837338" w:rsidRPr="009A3F1C" w:rsidRDefault="00837338" w:rsidP="00837338">
      <w:pPr>
        <w:rPr>
          <w:sz w:val="24"/>
          <w:szCs w:val="24"/>
          <w:u w:val="single"/>
        </w:rPr>
      </w:pPr>
      <w:r w:rsidRPr="009A3F1C">
        <w:rPr>
          <w:sz w:val="24"/>
          <w:szCs w:val="24"/>
        </w:rPr>
        <w:t xml:space="preserve">• </w:t>
      </w:r>
      <w:r w:rsidRPr="009A3F1C">
        <w:rPr>
          <w:sz w:val="24"/>
          <w:szCs w:val="24"/>
          <w:u w:val="single"/>
        </w:rPr>
        <w:t xml:space="preserve">To what level you </w:t>
      </w:r>
      <w:r w:rsidR="00372370" w:rsidRPr="009A3F1C">
        <w:rPr>
          <w:sz w:val="24"/>
          <w:szCs w:val="24"/>
          <w:u w:val="single"/>
        </w:rPr>
        <w:t>A</w:t>
      </w:r>
      <w:r w:rsidRPr="009A3F1C">
        <w:rPr>
          <w:sz w:val="24"/>
          <w:szCs w:val="24"/>
          <w:u w:val="single"/>
        </w:rPr>
        <w:t>gree</w:t>
      </w:r>
      <w:r w:rsidR="00372370" w:rsidRPr="009A3F1C">
        <w:rPr>
          <w:sz w:val="24"/>
          <w:szCs w:val="24"/>
          <w:u w:val="single"/>
        </w:rPr>
        <w:t xml:space="preserve"> OR Disagree</w:t>
      </w:r>
      <w:r w:rsidRPr="009A3F1C">
        <w:rPr>
          <w:sz w:val="24"/>
          <w:szCs w:val="24"/>
          <w:u w:val="single"/>
        </w:rPr>
        <w:t xml:space="preserve"> with it: </w:t>
      </w:r>
    </w:p>
    <w:p w14:paraId="5620F6E0" w14:textId="53CC52F7" w:rsidR="00837338" w:rsidRPr="009A3F1C" w:rsidRDefault="00837338" w:rsidP="00837338">
      <w:pPr>
        <w:rPr>
          <w:b/>
          <w:bCs/>
          <w:sz w:val="24"/>
          <w:szCs w:val="24"/>
        </w:rPr>
      </w:pPr>
      <w:r w:rsidRPr="009A3F1C">
        <w:rPr>
          <w:sz w:val="24"/>
          <w:szCs w:val="24"/>
        </w:rPr>
        <w:t xml:space="preserve">o </w:t>
      </w:r>
      <w:r w:rsidRPr="009A3F1C">
        <w:rPr>
          <w:b/>
          <w:bCs/>
          <w:sz w:val="24"/>
          <w:szCs w:val="24"/>
        </w:rPr>
        <w:t>Strongly agree</w:t>
      </w:r>
      <w:r w:rsidR="00372370" w:rsidRPr="009A3F1C">
        <w:rPr>
          <w:b/>
          <w:bCs/>
          <w:sz w:val="24"/>
          <w:szCs w:val="24"/>
        </w:rPr>
        <w:t xml:space="preserve">/ </w:t>
      </w:r>
      <w:r w:rsidRPr="009A3F1C">
        <w:rPr>
          <w:b/>
          <w:bCs/>
          <w:sz w:val="24"/>
          <w:szCs w:val="24"/>
        </w:rPr>
        <w:t>o Agree</w:t>
      </w:r>
      <w:r w:rsidR="00372370" w:rsidRPr="009A3F1C">
        <w:rPr>
          <w:b/>
          <w:bCs/>
          <w:sz w:val="24"/>
          <w:szCs w:val="24"/>
        </w:rPr>
        <w:t xml:space="preserve">/ </w:t>
      </w:r>
      <w:r w:rsidRPr="009A3F1C">
        <w:rPr>
          <w:b/>
          <w:bCs/>
          <w:sz w:val="24"/>
          <w:szCs w:val="24"/>
        </w:rPr>
        <w:t>o Neither agree nor disagree</w:t>
      </w:r>
      <w:r w:rsidR="00372370" w:rsidRPr="009A3F1C">
        <w:rPr>
          <w:b/>
          <w:bCs/>
          <w:sz w:val="24"/>
          <w:szCs w:val="24"/>
        </w:rPr>
        <w:t>/</w:t>
      </w:r>
      <w:r w:rsidRPr="009A3F1C">
        <w:rPr>
          <w:b/>
          <w:bCs/>
          <w:sz w:val="24"/>
          <w:szCs w:val="24"/>
        </w:rPr>
        <w:t>o Disagree</w:t>
      </w:r>
      <w:r w:rsidR="00372370" w:rsidRPr="009A3F1C">
        <w:rPr>
          <w:b/>
          <w:bCs/>
          <w:sz w:val="24"/>
          <w:szCs w:val="24"/>
        </w:rPr>
        <w:t xml:space="preserve"> /</w:t>
      </w:r>
      <w:r w:rsidRPr="009A3F1C">
        <w:rPr>
          <w:b/>
          <w:bCs/>
          <w:sz w:val="24"/>
          <w:szCs w:val="24"/>
        </w:rPr>
        <w:t xml:space="preserve">o </w:t>
      </w:r>
      <w:r w:rsidRPr="00BA4B30">
        <w:rPr>
          <w:b/>
          <w:bCs/>
          <w:sz w:val="24"/>
          <w:szCs w:val="24"/>
        </w:rPr>
        <w:t>Strongly Disagree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231"/>
        <w:gridCol w:w="3994"/>
        <w:gridCol w:w="5549"/>
      </w:tblGrid>
      <w:tr w:rsidR="002C1412" w:rsidRPr="009A3F1C" w14:paraId="56306CE5" w14:textId="77777777" w:rsidTr="00F80501">
        <w:tc>
          <w:tcPr>
            <w:tcW w:w="1135" w:type="dxa"/>
          </w:tcPr>
          <w:p w14:paraId="5A1DDCF2" w14:textId="77777777" w:rsidR="002F2C7C" w:rsidRDefault="00AA329C" w:rsidP="00A113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</w:t>
            </w:r>
            <w:r w:rsidR="0048058D" w:rsidRPr="009A3F1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3E6CC9F" w14:textId="2D28AA0D" w:rsidR="002C1412" w:rsidRPr="009A3F1C" w:rsidRDefault="00BA4B30" w:rsidP="00A113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9A3F1C">
              <w:rPr>
                <w:b/>
                <w:bCs/>
                <w:sz w:val="24"/>
                <w:szCs w:val="24"/>
              </w:rPr>
              <w:t>e.g.</w:t>
            </w:r>
            <w:r w:rsidR="00B06254">
              <w:rPr>
                <w:b/>
                <w:bCs/>
                <w:sz w:val="24"/>
                <w:szCs w:val="24"/>
              </w:rPr>
              <w:t xml:space="preserve"> </w:t>
            </w:r>
            <w:r w:rsidR="0048058D" w:rsidRPr="009A3F1C">
              <w:rPr>
                <w:b/>
                <w:bCs/>
                <w:sz w:val="24"/>
                <w:szCs w:val="24"/>
              </w:rPr>
              <w:t>4.4)</w:t>
            </w:r>
          </w:p>
        </w:tc>
        <w:tc>
          <w:tcPr>
            <w:tcW w:w="4032" w:type="dxa"/>
          </w:tcPr>
          <w:p w14:paraId="1BC9EA72" w14:textId="77777777" w:rsidR="002F2C7C" w:rsidRDefault="002C1412" w:rsidP="00A113FE">
            <w:pPr>
              <w:rPr>
                <w:b/>
                <w:bCs/>
                <w:sz w:val="24"/>
                <w:szCs w:val="24"/>
              </w:rPr>
            </w:pPr>
            <w:r w:rsidRPr="009A3F1C">
              <w:rPr>
                <w:b/>
                <w:bCs/>
                <w:sz w:val="24"/>
                <w:szCs w:val="24"/>
              </w:rPr>
              <w:t>Policy Reference</w:t>
            </w:r>
            <w:r w:rsidR="0048058D" w:rsidRPr="009A3F1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844A0B1" w14:textId="1072B657" w:rsidR="002C1412" w:rsidRPr="009A3F1C" w:rsidRDefault="0048058D" w:rsidP="00A113FE">
            <w:pPr>
              <w:rPr>
                <w:b/>
                <w:bCs/>
                <w:sz w:val="24"/>
                <w:szCs w:val="24"/>
              </w:rPr>
            </w:pPr>
            <w:r w:rsidRPr="009A3F1C">
              <w:rPr>
                <w:b/>
                <w:bCs/>
                <w:sz w:val="24"/>
                <w:szCs w:val="24"/>
              </w:rPr>
              <w:t>(</w:t>
            </w:r>
            <w:r w:rsidR="002F2C7C">
              <w:rPr>
                <w:b/>
                <w:bCs/>
                <w:sz w:val="24"/>
                <w:szCs w:val="24"/>
              </w:rPr>
              <w:t>e.g.</w:t>
            </w:r>
            <w:r w:rsidRPr="009A3F1C">
              <w:rPr>
                <w:b/>
                <w:bCs/>
                <w:sz w:val="24"/>
                <w:szCs w:val="24"/>
              </w:rPr>
              <w:t>HOM-</w:t>
            </w:r>
            <w:r w:rsidR="00465B54">
              <w:rPr>
                <w:b/>
                <w:bCs/>
                <w:sz w:val="24"/>
                <w:szCs w:val="24"/>
              </w:rPr>
              <w:t>2.16</w:t>
            </w:r>
            <w:r w:rsidRPr="009A3F1C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07" w:type="dxa"/>
          </w:tcPr>
          <w:p w14:paraId="3B32147D" w14:textId="77777777" w:rsidR="002F2C7C" w:rsidRDefault="002C1412" w:rsidP="00A113FE">
            <w:pPr>
              <w:rPr>
                <w:b/>
                <w:bCs/>
                <w:sz w:val="24"/>
                <w:szCs w:val="24"/>
              </w:rPr>
            </w:pPr>
            <w:r w:rsidRPr="009A3F1C">
              <w:rPr>
                <w:b/>
                <w:bCs/>
                <w:sz w:val="24"/>
                <w:szCs w:val="24"/>
              </w:rPr>
              <w:t xml:space="preserve">Paragraph number </w:t>
            </w:r>
          </w:p>
          <w:p w14:paraId="0BD5713C" w14:textId="46B22494" w:rsidR="002C1412" w:rsidRPr="009A3F1C" w:rsidRDefault="002C1412" w:rsidP="00A113FE">
            <w:pPr>
              <w:rPr>
                <w:b/>
                <w:bCs/>
                <w:sz w:val="24"/>
                <w:szCs w:val="24"/>
              </w:rPr>
            </w:pPr>
            <w:r w:rsidRPr="009A3F1C">
              <w:rPr>
                <w:b/>
                <w:bCs/>
                <w:sz w:val="24"/>
                <w:szCs w:val="24"/>
              </w:rPr>
              <w:t>(</w:t>
            </w:r>
            <w:r w:rsidR="0048058D" w:rsidRPr="009A3F1C">
              <w:rPr>
                <w:b/>
                <w:bCs/>
                <w:sz w:val="24"/>
                <w:szCs w:val="24"/>
              </w:rPr>
              <w:t xml:space="preserve">e.g. </w:t>
            </w:r>
            <w:r w:rsidR="00B06254">
              <w:rPr>
                <w:b/>
                <w:bCs/>
                <w:sz w:val="24"/>
                <w:szCs w:val="24"/>
              </w:rPr>
              <w:t>270</w:t>
            </w:r>
            <w:r w:rsidR="0048058D" w:rsidRPr="009A3F1C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2C1412" w:rsidRPr="009A3F1C" w14:paraId="31D24089" w14:textId="77777777" w:rsidTr="00F80501">
        <w:trPr>
          <w:trHeight w:val="549"/>
        </w:trPr>
        <w:tc>
          <w:tcPr>
            <w:tcW w:w="1135" w:type="dxa"/>
          </w:tcPr>
          <w:p w14:paraId="1ACE83F5" w14:textId="346A3C85" w:rsidR="002C1412" w:rsidRPr="009A3F1C" w:rsidRDefault="00B06254" w:rsidP="00A11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032" w:type="dxa"/>
          </w:tcPr>
          <w:p w14:paraId="7FA8FDA8" w14:textId="296EC4D5" w:rsidR="002C1412" w:rsidRPr="009A3F1C" w:rsidRDefault="00BC7C09" w:rsidP="00A11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 </w:t>
            </w:r>
            <w:r w:rsidR="00B06254">
              <w:rPr>
                <w:sz w:val="24"/>
                <w:szCs w:val="24"/>
              </w:rPr>
              <w:t>2.16 High Lane</w:t>
            </w:r>
          </w:p>
        </w:tc>
        <w:tc>
          <w:tcPr>
            <w:tcW w:w="5607" w:type="dxa"/>
          </w:tcPr>
          <w:p w14:paraId="111803F4" w14:textId="645C6A8B" w:rsidR="002C1412" w:rsidRPr="009A3F1C" w:rsidRDefault="006B7EF4" w:rsidP="00A11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SLP </w:t>
            </w:r>
            <w:r w:rsidR="00AE4F7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P</w:t>
            </w:r>
            <w:r w:rsidR="00AE4F7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 w:rsidR="00AE4F78">
              <w:rPr>
                <w:sz w:val="24"/>
                <w:szCs w:val="24"/>
              </w:rPr>
              <w:t xml:space="preserve">; </w:t>
            </w:r>
            <w:r w:rsidR="00BC7C09">
              <w:rPr>
                <w:sz w:val="24"/>
                <w:szCs w:val="24"/>
              </w:rPr>
              <w:t>Appendix 3</w:t>
            </w:r>
            <w:r>
              <w:rPr>
                <w:sz w:val="24"/>
                <w:szCs w:val="24"/>
              </w:rPr>
              <w:t xml:space="preserve">, </w:t>
            </w:r>
            <w:r w:rsidR="00AE4F78" w:rsidRPr="00AE4F78">
              <w:rPr>
                <w:sz w:val="24"/>
                <w:szCs w:val="24"/>
              </w:rPr>
              <w:t>- Addressing our development needs paper</w:t>
            </w:r>
            <w:r w:rsidR="00AE4F78">
              <w:rPr>
                <w:sz w:val="24"/>
                <w:szCs w:val="24"/>
              </w:rPr>
              <w:t xml:space="preserve"> &amp; </w:t>
            </w:r>
            <w:r>
              <w:rPr>
                <w:sz w:val="24"/>
                <w:szCs w:val="24"/>
              </w:rPr>
              <w:t xml:space="preserve">Greenbelt Assessment </w:t>
            </w:r>
          </w:p>
        </w:tc>
      </w:tr>
      <w:tr w:rsidR="00976E9B" w:rsidRPr="009A3F1C" w14:paraId="59ED531D" w14:textId="77777777" w:rsidTr="00F80501">
        <w:trPr>
          <w:trHeight w:val="543"/>
        </w:trPr>
        <w:tc>
          <w:tcPr>
            <w:tcW w:w="1135" w:type="dxa"/>
          </w:tcPr>
          <w:p w14:paraId="6A02832F" w14:textId="65FC7BB7" w:rsidR="00976E9B" w:rsidRPr="009A3F1C" w:rsidRDefault="00976E9B" w:rsidP="00A113FE">
            <w:pPr>
              <w:rPr>
                <w:b/>
                <w:bCs/>
                <w:sz w:val="24"/>
                <w:szCs w:val="24"/>
              </w:rPr>
            </w:pPr>
            <w:r w:rsidRPr="009A3F1C">
              <w:rPr>
                <w:b/>
                <w:bCs/>
                <w:sz w:val="24"/>
                <w:szCs w:val="24"/>
              </w:rPr>
              <w:t>Level of response</w:t>
            </w:r>
          </w:p>
        </w:tc>
        <w:tc>
          <w:tcPr>
            <w:tcW w:w="9639" w:type="dxa"/>
            <w:gridSpan w:val="2"/>
          </w:tcPr>
          <w:p w14:paraId="3EEDACC0" w14:textId="60BC30B8" w:rsidR="00976E9B" w:rsidRPr="00484F6E" w:rsidRDefault="00484F6E" w:rsidP="00A113FE">
            <w:pPr>
              <w:rPr>
                <w:b/>
                <w:bCs/>
                <w:sz w:val="24"/>
                <w:szCs w:val="24"/>
              </w:rPr>
            </w:pPr>
            <w:r w:rsidRPr="00484F6E">
              <w:rPr>
                <w:b/>
                <w:bCs/>
                <w:sz w:val="24"/>
                <w:szCs w:val="24"/>
              </w:rPr>
              <w:t>Strongly Disagree</w:t>
            </w:r>
          </w:p>
        </w:tc>
      </w:tr>
      <w:tr w:rsidR="00976E9B" w:rsidRPr="009A3F1C" w14:paraId="02462134" w14:textId="77777777" w:rsidTr="00F80501">
        <w:trPr>
          <w:trHeight w:val="1028"/>
        </w:trPr>
        <w:tc>
          <w:tcPr>
            <w:tcW w:w="1135" w:type="dxa"/>
          </w:tcPr>
          <w:p w14:paraId="009A704E" w14:textId="51A2CE98" w:rsidR="00976E9B" w:rsidRPr="009A3F1C" w:rsidRDefault="00976E9B" w:rsidP="00A113FE">
            <w:pPr>
              <w:rPr>
                <w:b/>
                <w:bCs/>
                <w:sz w:val="24"/>
                <w:szCs w:val="24"/>
              </w:rPr>
            </w:pPr>
            <w:r w:rsidRPr="009A3F1C">
              <w:rPr>
                <w:b/>
                <w:bCs/>
                <w:sz w:val="24"/>
                <w:szCs w:val="24"/>
              </w:rPr>
              <w:t>Reason:</w:t>
            </w:r>
          </w:p>
        </w:tc>
        <w:tc>
          <w:tcPr>
            <w:tcW w:w="9639" w:type="dxa"/>
            <w:gridSpan w:val="2"/>
          </w:tcPr>
          <w:p w14:paraId="5883C57B" w14:textId="650BBF9A" w:rsidR="00976E9B" w:rsidRDefault="00797BD7" w:rsidP="00A113FE">
            <w:pPr>
              <w:rPr>
                <w:sz w:val="24"/>
                <w:szCs w:val="24"/>
              </w:rPr>
            </w:pPr>
            <w:r w:rsidRPr="00DA2807">
              <w:rPr>
                <w:b/>
                <w:bCs/>
                <w:sz w:val="24"/>
                <w:szCs w:val="24"/>
              </w:rPr>
              <w:t xml:space="preserve">1 </w:t>
            </w:r>
            <w:r w:rsidR="005126A8" w:rsidRPr="00DA2807">
              <w:rPr>
                <w:b/>
                <w:bCs/>
                <w:sz w:val="24"/>
                <w:szCs w:val="24"/>
              </w:rPr>
              <w:t>Gre</w:t>
            </w:r>
            <w:r w:rsidR="00AB0A93" w:rsidRPr="00DA2807">
              <w:rPr>
                <w:b/>
                <w:bCs/>
                <w:sz w:val="24"/>
                <w:szCs w:val="24"/>
              </w:rPr>
              <w:t>en Belt redesignation</w:t>
            </w:r>
            <w:r w:rsidR="00DA2807">
              <w:rPr>
                <w:sz w:val="24"/>
                <w:szCs w:val="24"/>
              </w:rPr>
              <w:t>:</w:t>
            </w:r>
            <w:r w:rsidR="00AB0A93">
              <w:rPr>
                <w:sz w:val="24"/>
                <w:szCs w:val="24"/>
              </w:rPr>
              <w:t xml:space="preserve"> T</w:t>
            </w:r>
            <w:r w:rsidR="00D92336">
              <w:rPr>
                <w:sz w:val="24"/>
                <w:szCs w:val="24"/>
              </w:rPr>
              <w:t xml:space="preserve">he allocation of the </w:t>
            </w:r>
            <w:r w:rsidR="00BF0C06">
              <w:rPr>
                <w:sz w:val="24"/>
                <w:szCs w:val="24"/>
              </w:rPr>
              <w:t>High Lane</w:t>
            </w:r>
            <w:r w:rsidR="00D92336">
              <w:rPr>
                <w:sz w:val="24"/>
                <w:szCs w:val="24"/>
              </w:rPr>
              <w:t xml:space="preserve"> site </w:t>
            </w:r>
            <w:r w:rsidR="00AD44A7">
              <w:rPr>
                <w:sz w:val="24"/>
                <w:szCs w:val="24"/>
              </w:rPr>
              <w:t xml:space="preserve">as grey belt </w:t>
            </w:r>
            <w:r w:rsidR="00A40D94">
              <w:rPr>
                <w:sz w:val="24"/>
                <w:szCs w:val="24"/>
              </w:rPr>
              <w:t xml:space="preserve">not green belt </w:t>
            </w:r>
            <w:r w:rsidR="004D1117">
              <w:rPr>
                <w:sz w:val="24"/>
                <w:szCs w:val="24"/>
              </w:rPr>
              <w:t xml:space="preserve">is </w:t>
            </w:r>
            <w:r w:rsidR="00624D88">
              <w:rPr>
                <w:sz w:val="24"/>
                <w:szCs w:val="24"/>
              </w:rPr>
              <w:t>defined in</w:t>
            </w:r>
            <w:r w:rsidR="00F8068F">
              <w:rPr>
                <w:sz w:val="24"/>
                <w:szCs w:val="24"/>
              </w:rPr>
              <w:t xml:space="preserve"> Appendix </w:t>
            </w:r>
            <w:r w:rsidR="00A54A22">
              <w:rPr>
                <w:sz w:val="24"/>
                <w:szCs w:val="24"/>
              </w:rPr>
              <w:t>3</w:t>
            </w:r>
            <w:r w:rsidR="00F8068F">
              <w:rPr>
                <w:sz w:val="24"/>
                <w:szCs w:val="24"/>
              </w:rPr>
              <w:t xml:space="preserve"> </w:t>
            </w:r>
            <w:r w:rsidR="00A54A22">
              <w:rPr>
                <w:sz w:val="24"/>
                <w:szCs w:val="24"/>
              </w:rPr>
              <w:t>HOM 2.16</w:t>
            </w:r>
            <w:r w:rsidR="00624D88">
              <w:rPr>
                <w:sz w:val="24"/>
                <w:szCs w:val="24"/>
              </w:rPr>
              <w:t xml:space="preserve">. </w:t>
            </w:r>
            <w:r w:rsidR="002240F3">
              <w:rPr>
                <w:sz w:val="24"/>
                <w:szCs w:val="24"/>
              </w:rPr>
              <w:t xml:space="preserve">There is no clear and consistent approach in the Greenbelt Assessment </w:t>
            </w:r>
            <w:r w:rsidR="00126524">
              <w:rPr>
                <w:sz w:val="24"/>
                <w:szCs w:val="24"/>
              </w:rPr>
              <w:t xml:space="preserve">to </w:t>
            </w:r>
            <w:r w:rsidR="002240F3">
              <w:rPr>
                <w:sz w:val="24"/>
                <w:szCs w:val="24"/>
              </w:rPr>
              <w:t>justif</w:t>
            </w:r>
            <w:r w:rsidR="00126524">
              <w:rPr>
                <w:sz w:val="24"/>
                <w:szCs w:val="24"/>
              </w:rPr>
              <w:t xml:space="preserve">y both the </w:t>
            </w:r>
            <w:r w:rsidR="00D54F3B">
              <w:rPr>
                <w:sz w:val="24"/>
                <w:szCs w:val="24"/>
              </w:rPr>
              <w:t>allocation (</w:t>
            </w:r>
            <w:r w:rsidR="006920BB">
              <w:rPr>
                <w:sz w:val="24"/>
                <w:szCs w:val="24"/>
              </w:rPr>
              <w:t xml:space="preserve">the ratings (table 4.1) and subsequent </w:t>
            </w:r>
            <w:r w:rsidR="00E56834">
              <w:rPr>
                <w:sz w:val="24"/>
                <w:szCs w:val="24"/>
              </w:rPr>
              <w:t>strongest contribution (</w:t>
            </w:r>
            <w:r w:rsidR="002D4DEA">
              <w:rPr>
                <w:sz w:val="24"/>
                <w:szCs w:val="24"/>
              </w:rPr>
              <w:t>figure 4.2)</w:t>
            </w:r>
            <w:r w:rsidR="003F336E">
              <w:rPr>
                <w:sz w:val="24"/>
                <w:szCs w:val="24"/>
              </w:rPr>
              <w:t xml:space="preserve"> for HL 7 &amp; 8</w:t>
            </w:r>
            <w:r w:rsidR="002D4DEA">
              <w:rPr>
                <w:sz w:val="24"/>
                <w:szCs w:val="24"/>
              </w:rPr>
              <w:t xml:space="preserve">. The final allocation of sites using an (overlay) </w:t>
            </w:r>
            <w:r w:rsidR="00DD777F">
              <w:rPr>
                <w:sz w:val="24"/>
                <w:szCs w:val="24"/>
              </w:rPr>
              <w:t>(section 3.28) is not defined or transparent.</w:t>
            </w:r>
          </w:p>
          <w:p w14:paraId="33392177" w14:textId="23473F82" w:rsidR="00B217CD" w:rsidRDefault="00B217CD" w:rsidP="00A11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 w:rsidR="00CE20C4">
              <w:rPr>
                <w:sz w:val="24"/>
                <w:szCs w:val="24"/>
              </w:rPr>
              <w:t xml:space="preserve">is </w:t>
            </w:r>
            <w:r>
              <w:rPr>
                <w:sz w:val="24"/>
                <w:szCs w:val="24"/>
              </w:rPr>
              <w:t xml:space="preserve">site </w:t>
            </w:r>
            <w:r w:rsidR="00CE20C4">
              <w:rPr>
                <w:sz w:val="24"/>
                <w:szCs w:val="24"/>
              </w:rPr>
              <w:t>and most others allocate</w:t>
            </w:r>
            <w:r w:rsidR="005D4FC2">
              <w:rPr>
                <w:sz w:val="24"/>
                <w:szCs w:val="24"/>
              </w:rPr>
              <w:t xml:space="preserve">d </w:t>
            </w:r>
            <w:r>
              <w:rPr>
                <w:sz w:val="24"/>
                <w:szCs w:val="24"/>
              </w:rPr>
              <w:t xml:space="preserve">appear </w:t>
            </w:r>
            <w:r w:rsidR="00BB1410">
              <w:rPr>
                <w:sz w:val="24"/>
                <w:szCs w:val="24"/>
              </w:rPr>
              <w:t>aligned</w:t>
            </w:r>
            <w:r>
              <w:rPr>
                <w:sz w:val="24"/>
                <w:szCs w:val="24"/>
              </w:rPr>
              <w:t xml:space="preserve"> to current developer proposals </w:t>
            </w:r>
            <w:r w:rsidR="006D2B88">
              <w:rPr>
                <w:sz w:val="24"/>
                <w:szCs w:val="24"/>
              </w:rPr>
              <w:t>which could imply a bias.</w:t>
            </w:r>
          </w:p>
          <w:p w14:paraId="56FC195E" w14:textId="77777777" w:rsidR="006D2B88" w:rsidRDefault="006D2B88" w:rsidP="006D2B88">
            <w:pPr>
              <w:rPr>
                <w:b/>
                <w:bCs/>
                <w:sz w:val="24"/>
                <w:szCs w:val="24"/>
              </w:rPr>
            </w:pPr>
            <w:r w:rsidRPr="006D2B88">
              <w:rPr>
                <w:b/>
                <w:bCs/>
                <w:sz w:val="24"/>
                <w:szCs w:val="24"/>
              </w:rPr>
              <w:t>2.</w:t>
            </w:r>
            <w:r w:rsidRPr="006D2B88">
              <w:rPr>
                <w:b/>
                <w:bCs/>
                <w:sz w:val="24"/>
                <w:szCs w:val="24"/>
              </w:rPr>
              <w:tab/>
              <w:t>Rural village - site allocated when urban gey belt has more infrastructure</w:t>
            </w:r>
          </w:p>
          <w:p w14:paraId="00E3676E" w14:textId="431BC526" w:rsidR="005D4FC2" w:rsidRPr="005D4FC2" w:rsidRDefault="00467AD8" w:rsidP="006D2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Grey Bely </w:t>
            </w:r>
            <w:r w:rsidR="00155D65">
              <w:rPr>
                <w:sz w:val="24"/>
                <w:szCs w:val="24"/>
              </w:rPr>
              <w:t>rating and allocations map</w:t>
            </w:r>
            <w:r w:rsidR="00E02B87">
              <w:rPr>
                <w:sz w:val="24"/>
                <w:szCs w:val="24"/>
              </w:rPr>
              <w:t xml:space="preserve"> (Highest </w:t>
            </w:r>
            <w:r w:rsidR="00154B4C">
              <w:rPr>
                <w:sz w:val="24"/>
                <w:szCs w:val="24"/>
              </w:rPr>
              <w:t xml:space="preserve">contribution to NPPF purposes </w:t>
            </w:r>
            <w:r w:rsidR="005C0B5B">
              <w:rPr>
                <w:sz w:val="24"/>
                <w:szCs w:val="24"/>
              </w:rPr>
              <w:t xml:space="preserve">A, B, </w:t>
            </w:r>
            <w:r w:rsidR="003646E9">
              <w:rPr>
                <w:sz w:val="24"/>
                <w:szCs w:val="24"/>
              </w:rPr>
              <w:t>C, D</w:t>
            </w:r>
            <w:r w:rsidR="00ED779F">
              <w:rPr>
                <w:sz w:val="24"/>
                <w:szCs w:val="24"/>
              </w:rPr>
              <w:t xml:space="preserve"> shows many sites with a</w:t>
            </w:r>
            <w:r w:rsidR="001253AF">
              <w:rPr>
                <w:sz w:val="24"/>
                <w:szCs w:val="24"/>
              </w:rPr>
              <w:t>n equivalent (moderate</w:t>
            </w:r>
            <w:r w:rsidR="003646E9">
              <w:rPr>
                <w:sz w:val="24"/>
                <w:szCs w:val="24"/>
              </w:rPr>
              <w:t>),</w:t>
            </w:r>
            <w:r w:rsidR="001253AF">
              <w:rPr>
                <w:sz w:val="24"/>
                <w:szCs w:val="24"/>
              </w:rPr>
              <w:t xml:space="preserve"> or lower (low) </w:t>
            </w:r>
            <w:r w:rsidR="00ED779F">
              <w:rPr>
                <w:sz w:val="24"/>
                <w:szCs w:val="24"/>
              </w:rPr>
              <w:t xml:space="preserve">rating </w:t>
            </w:r>
            <w:r w:rsidR="005C0B5B">
              <w:rPr>
                <w:sz w:val="24"/>
                <w:szCs w:val="24"/>
              </w:rPr>
              <w:t>does not allocate</w:t>
            </w:r>
            <w:r w:rsidR="001253AF">
              <w:rPr>
                <w:sz w:val="24"/>
                <w:szCs w:val="24"/>
              </w:rPr>
              <w:t>, which ad</w:t>
            </w:r>
            <w:r w:rsidR="00B31BAA">
              <w:rPr>
                <w:sz w:val="24"/>
                <w:szCs w:val="24"/>
              </w:rPr>
              <w:t xml:space="preserve">joint urban areas including district centres (NPPF) with better infrastructure. Review </w:t>
            </w:r>
            <w:r w:rsidR="00DD50F0">
              <w:rPr>
                <w:sz w:val="24"/>
                <w:szCs w:val="24"/>
              </w:rPr>
              <w:t xml:space="preserve">re-allocating all or </w:t>
            </w:r>
            <w:r w:rsidR="00DF5380">
              <w:rPr>
                <w:sz w:val="24"/>
                <w:szCs w:val="24"/>
              </w:rPr>
              <w:t xml:space="preserve">part </w:t>
            </w:r>
            <w:r w:rsidR="00DD50F0">
              <w:rPr>
                <w:sz w:val="24"/>
                <w:szCs w:val="24"/>
              </w:rPr>
              <w:t xml:space="preserve">of the 1,000 homes in High Lane (HOM 2.16) to </w:t>
            </w:r>
            <w:r w:rsidR="00132913">
              <w:rPr>
                <w:sz w:val="24"/>
                <w:szCs w:val="24"/>
              </w:rPr>
              <w:t>these.</w:t>
            </w:r>
            <w:r w:rsidR="00B31BAA">
              <w:rPr>
                <w:sz w:val="24"/>
                <w:szCs w:val="24"/>
              </w:rPr>
              <w:t xml:space="preserve"> </w:t>
            </w:r>
          </w:p>
          <w:p w14:paraId="20662043" w14:textId="4158F43B" w:rsidR="006D2B88" w:rsidRDefault="006D2B88" w:rsidP="006D2B88">
            <w:pPr>
              <w:rPr>
                <w:b/>
                <w:bCs/>
                <w:sz w:val="24"/>
                <w:szCs w:val="24"/>
              </w:rPr>
            </w:pPr>
            <w:r w:rsidRPr="006D2B88">
              <w:rPr>
                <w:sz w:val="24"/>
                <w:szCs w:val="24"/>
              </w:rPr>
              <w:t>3.</w:t>
            </w:r>
            <w:r w:rsidRPr="006D2B88">
              <w:rPr>
                <w:sz w:val="24"/>
                <w:szCs w:val="24"/>
              </w:rPr>
              <w:tab/>
            </w:r>
            <w:r w:rsidRPr="006D2B88">
              <w:rPr>
                <w:b/>
                <w:bCs/>
                <w:sz w:val="24"/>
                <w:szCs w:val="24"/>
              </w:rPr>
              <w:t xml:space="preserve">Allocation </w:t>
            </w:r>
            <w:r w:rsidR="005C0B5B" w:rsidRPr="006D2B88">
              <w:rPr>
                <w:b/>
                <w:bCs/>
                <w:sz w:val="24"/>
                <w:szCs w:val="24"/>
              </w:rPr>
              <w:t>sizes:</w:t>
            </w:r>
            <w:r w:rsidRPr="006D2B88">
              <w:rPr>
                <w:b/>
                <w:bCs/>
                <w:sz w:val="24"/>
                <w:szCs w:val="24"/>
              </w:rPr>
              <w:t xml:space="preserve"> 1,000 homes</w:t>
            </w:r>
          </w:p>
          <w:p w14:paraId="238B751B" w14:textId="697F9D1C" w:rsidR="00B97015" w:rsidRPr="007E695A" w:rsidRDefault="00B97015" w:rsidP="006D2B88">
            <w:pPr>
              <w:rPr>
                <w:sz w:val="24"/>
                <w:szCs w:val="24"/>
              </w:rPr>
            </w:pPr>
            <w:r w:rsidRPr="00093FEE">
              <w:rPr>
                <w:sz w:val="24"/>
                <w:szCs w:val="24"/>
              </w:rPr>
              <w:t xml:space="preserve">The scale of the </w:t>
            </w:r>
            <w:r w:rsidR="0081235A" w:rsidRPr="00093FEE">
              <w:rPr>
                <w:sz w:val="24"/>
                <w:szCs w:val="24"/>
              </w:rPr>
              <w:t>p</w:t>
            </w:r>
            <w:r w:rsidR="0081235A">
              <w:rPr>
                <w:sz w:val="24"/>
                <w:szCs w:val="24"/>
              </w:rPr>
              <w:t>r</w:t>
            </w:r>
            <w:r w:rsidR="0081235A" w:rsidRPr="00093FEE">
              <w:rPr>
                <w:sz w:val="24"/>
                <w:szCs w:val="24"/>
              </w:rPr>
              <w:t>oposed</w:t>
            </w:r>
            <w:r w:rsidRPr="00093FEE">
              <w:rPr>
                <w:sz w:val="24"/>
                <w:szCs w:val="24"/>
              </w:rPr>
              <w:t xml:space="preserve"> High Lane site (HOM 2</w:t>
            </w:r>
            <w:r w:rsidR="00093FEE">
              <w:rPr>
                <w:sz w:val="24"/>
                <w:szCs w:val="24"/>
              </w:rPr>
              <w:t>.</w:t>
            </w:r>
            <w:r w:rsidRPr="00093FEE">
              <w:rPr>
                <w:sz w:val="24"/>
                <w:szCs w:val="24"/>
              </w:rPr>
              <w:t xml:space="preserve">16) is </w:t>
            </w:r>
            <w:r w:rsidR="00BB1410" w:rsidRPr="00093FEE">
              <w:rPr>
                <w:sz w:val="24"/>
                <w:szCs w:val="24"/>
              </w:rPr>
              <w:t>disproportionate</w:t>
            </w:r>
            <w:r w:rsidRPr="00093FEE">
              <w:rPr>
                <w:sz w:val="24"/>
                <w:szCs w:val="24"/>
              </w:rPr>
              <w:t xml:space="preserve"> to the scale of high lane village</w:t>
            </w:r>
            <w:r w:rsidR="00093FEE">
              <w:rPr>
                <w:sz w:val="24"/>
                <w:szCs w:val="24"/>
              </w:rPr>
              <w:t xml:space="preserve"> at 40% of the existing homes. </w:t>
            </w:r>
            <w:r w:rsidR="0081235A" w:rsidRPr="00CE2A57">
              <w:rPr>
                <w:i/>
                <w:iCs/>
                <w:sz w:val="24"/>
                <w:szCs w:val="24"/>
              </w:rPr>
              <w:t>NPPF 83 states that: To promote sustainable development in rural areas, housing should be located where it will enhance or maintain the vitality of rural communities. This is not the case for this site.</w:t>
            </w:r>
            <w:r w:rsidR="007E695A">
              <w:rPr>
                <w:i/>
                <w:iCs/>
                <w:sz w:val="24"/>
                <w:szCs w:val="24"/>
              </w:rPr>
              <w:t xml:space="preserve"> </w:t>
            </w:r>
            <w:r w:rsidR="007E695A">
              <w:rPr>
                <w:sz w:val="24"/>
                <w:szCs w:val="24"/>
              </w:rPr>
              <w:t xml:space="preserve">This appears not to have been adequately considered in the impact </w:t>
            </w:r>
            <w:r w:rsidR="004B7F75">
              <w:rPr>
                <w:sz w:val="24"/>
                <w:szCs w:val="24"/>
              </w:rPr>
              <w:t>Green belt impact assessment</w:t>
            </w:r>
            <w:r w:rsidR="007E695A">
              <w:rPr>
                <w:sz w:val="24"/>
                <w:szCs w:val="24"/>
              </w:rPr>
              <w:t xml:space="preserve"> </w:t>
            </w:r>
            <w:r w:rsidR="004B7F75">
              <w:rPr>
                <w:sz w:val="24"/>
                <w:szCs w:val="24"/>
              </w:rPr>
              <w:t>or the subsequent site allocations. There is a clear bias against rural areas in the approach applied by LUC consultants and adopted by SMBC.</w:t>
            </w:r>
          </w:p>
          <w:p w14:paraId="08F08083" w14:textId="77777777" w:rsidR="006D2B88" w:rsidRDefault="006D2B88" w:rsidP="006D2B88">
            <w:pPr>
              <w:rPr>
                <w:b/>
                <w:bCs/>
                <w:sz w:val="24"/>
                <w:szCs w:val="24"/>
              </w:rPr>
            </w:pPr>
            <w:r w:rsidRPr="006D2B88">
              <w:rPr>
                <w:b/>
                <w:bCs/>
                <w:sz w:val="24"/>
                <w:szCs w:val="24"/>
              </w:rPr>
              <w:t>4.</w:t>
            </w:r>
            <w:r w:rsidRPr="006D2B88">
              <w:rPr>
                <w:b/>
                <w:bCs/>
                <w:sz w:val="24"/>
                <w:szCs w:val="24"/>
              </w:rPr>
              <w:tab/>
              <w:t>Transport – A6 traffic, busses &amp; trains</w:t>
            </w:r>
          </w:p>
          <w:p w14:paraId="28E3B769" w14:textId="2DD02DA6" w:rsidR="0081235A" w:rsidRDefault="0081235A" w:rsidP="006D2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proposed site will </w:t>
            </w:r>
            <w:r w:rsidR="000974E1">
              <w:rPr>
                <w:sz w:val="24"/>
                <w:szCs w:val="24"/>
              </w:rPr>
              <w:t xml:space="preserve">have 1,000 homes and therefore around 2,000 vehicles. The </w:t>
            </w:r>
            <w:r w:rsidR="007B2321">
              <w:rPr>
                <w:sz w:val="24"/>
                <w:szCs w:val="24"/>
              </w:rPr>
              <w:t>transport plan for earlier proposed developments suggested a staggered junction onto the A</w:t>
            </w:r>
            <w:r w:rsidR="0062457D">
              <w:rPr>
                <w:sz w:val="24"/>
                <w:szCs w:val="24"/>
              </w:rPr>
              <w:t>6</w:t>
            </w:r>
            <w:r w:rsidR="007B2321">
              <w:rPr>
                <w:sz w:val="24"/>
                <w:szCs w:val="24"/>
              </w:rPr>
              <w:t xml:space="preserve"> with traffic lights. This volume of additional traffic will </w:t>
            </w:r>
            <w:r w:rsidR="00123CA5">
              <w:rPr>
                <w:sz w:val="24"/>
                <w:szCs w:val="24"/>
              </w:rPr>
              <w:t xml:space="preserve">significantly worsen the </w:t>
            </w:r>
            <w:r w:rsidR="00123CA5">
              <w:rPr>
                <w:sz w:val="24"/>
                <w:szCs w:val="24"/>
              </w:rPr>
              <w:lastRenderedPageBreak/>
              <w:t xml:space="preserve">congestion, </w:t>
            </w:r>
            <w:r w:rsidR="00C0507C">
              <w:rPr>
                <w:sz w:val="24"/>
                <w:szCs w:val="24"/>
              </w:rPr>
              <w:t>delays,</w:t>
            </w:r>
            <w:r w:rsidR="00123CA5">
              <w:rPr>
                <w:sz w:val="24"/>
                <w:szCs w:val="24"/>
              </w:rPr>
              <w:t xml:space="preserve"> and air pollution. This has become much worse </w:t>
            </w:r>
            <w:r w:rsidR="00751515">
              <w:rPr>
                <w:sz w:val="24"/>
                <w:szCs w:val="24"/>
              </w:rPr>
              <w:t>since the A555 development, and no effective alleviations are in place.</w:t>
            </w:r>
            <w:r w:rsidR="00FE6D3B">
              <w:rPr>
                <w:sz w:val="24"/>
                <w:szCs w:val="24"/>
              </w:rPr>
              <w:t xml:space="preserve"> </w:t>
            </w:r>
            <w:proofErr w:type="gramStart"/>
            <w:r w:rsidR="00FE6D3B">
              <w:rPr>
                <w:sz w:val="24"/>
                <w:szCs w:val="24"/>
              </w:rPr>
              <w:t>Give</w:t>
            </w:r>
            <w:r w:rsidR="00037470">
              <w:rPr>
                <w:sz w:val="24"/>
                <w:szCs w:val="24"/>
              </w:rPr>
              <w:t xml:space="preserve"> greater consideration to</w:t>
            </w:r>
            <w:proofErr w:type="gramEnd"/>
            <w:r w:rsidR="00037470">
              <w:rPr>
                <w:sz w:val="24"/>
                <w:szCs w:val="24"/>
              </w:rPr>
              <w:t>:</w:t>
            </w:r>
          </w:p>
          <w:p w14:paraId="796E3CCF" w14:textId="02BA1320" w:rsidR="00CE45F8" w:rsidRDefault="0063308A" w:rsidP="0063308A">
            <w:pPr>
              <w:rPr>
                <w:sz w:val="24"/>
                <w:szCs w:val="24"/>
              </w:rPr>
            </w:pPr>
            <w:r w:rsidRPr="0063308A">
              <w:rPr>
                <w:i/>
                <w:iCs/>
                <w:sz w:val="24"/>
                <w:szCs w:val="24"/>
              </w:rPr>
              <w:t>NPPF 110</w:t>
            </w:r>
            <w:r w:rsidRPr="00CE45F8">
              <w:rPr>
                <w:i/>
                <w:iCs/>
                <w:sz w:val="24"/>
                <w:szCs w:val="24"/>
              </w:rPr>
              <w:t xml:space="preserve"> states: </w:t>
            </w:r>
            <w:r w:rsidRPr="0063308A">
              <w:rPr>
                <w:i/>
                <w:iCs/>
                <w:sz w:val="24"/>
                <w:szCs w:val="24"/>
              </w:rPr>
              <w:t xml:space="preserve"> Significant development should be focused on locations which are or can be made sustainable, through limiting the need to travel and offering a genuine choice of transport modes. </w:t>
            </w:r>
            <w:r w:rsidRPr="00CE45F8">
              <w:rPr>
                <w:i/>
                <w:iCs/>
                <w:sz w:val="24"/>
                <w:szCs w:val="24"/>
              </w:rPr>
              <w:t xml:space="preserve">This can help to reduce congestion and </w:t>
            </w:r>
            <w:r w:rsidR="003646E9" w:rsidRPr="00CE45F8">
              <w:rPr>
                <w:i/>
                <w:iCs/>
                <w:sz w:val="24"/>
                <w:szCs w:val="24"/>
              </w:rPr>
              <w:t>emissions and</w:t>
            </w:r>
            <w:r w:rsidRPr="00CE45F8">
              <w:rPr>
                <w:i/>
                <w:iCs/>
                <w:sz w:val="24"/>
                <w:szCs w:val="24"/>
              </w:rPr>
              <w:t xml:space="preserve"> improve air quality and public health.</w:t>
            </w:r>
            <w:r>
              <w:rPr>
                <w:sz w:val="24"/>
                <w:szCs w:val="24"/>
              </w:rPr>
              <w:t xml:space="preserve"> </w:t>
            </w:r>
          </w:p>
          <w:p w14:paraId="0D7ED0B9" w14:textId="77777777" w:rsidR="006D2B88" w:rsidRDefault="006D2B88" w:rsidP="006D2B88">
            <w:pPr>
              <w:rPr>
                <w:b/>
                <w:bCs/>
                <w:sz w:val="24"/>
                <w:szCs w:val="24"/>
              </w:rPr>
            </w:pPr>
            <w:r w:rsidRPr="006D2B88">
              <w:rPr>
                <w:b/>
                <w:bCs/>
                <w:sz w:val="24"/>
                <w:szCs w:val="24"/>
              </w:rPr>
              <w:t>5.</w:t>
            </w:r>
            <w:r w:rsidRPr="006D2B88">
              <w:rPr>
                <w:b/>
                <w:bCs/>
                <w:sz w:val="24"/>
                <w:szCs w:val="24"/>
              </w:rPr>
              <w:tab/>
              <w:t xml:space="preserve">Infrastructure – Medical, schools etc </w:t>
            </w:r>
          </w:p>
          <w:p w14:paraId="0C5D8145" w14:textId="176F2D02" w:rsidR="003F2E68" w:rsidRDefault="003F2E68" w:rsidP="006D2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scale of development will mean a need for 40% local essential services </w:t>
            </w:r>
            <w:r w:rsidR="00B1084D">
              <w:rPr>
                <w:sz w:val="24"/>
                <w:szCs w:val="24"/>
              </w:rPr>
              <w:t>which will exceed the current capacity for doctors, dental and pharmacy services</w:t>
            </w:r>
            <w:r w:rsidR="00BD2FDC">
              <w:rPr>
                <w:sz w:val="24"/>
                <w:szCs w:val="24"/>
              </w:rPr>
              <w:t xml:space="preserve"> &amp; </w:t>
            </w:r>
            <w:r w:rsidR="00B1084D">
              <w:rPr>
                <w:sz w:val="24"/>
                <w:szCs w:val="24"/>
              </w:rPr>
              <w:t>School spaces</w:t>
            </w:r>
            <w:r w:rsidR="00BD2FDC">
              <w:rPr>
                <w:sz w:val="24"/>
                <w:szCs w:val="24"/>
              </w:rPr>
              <w:t>.</w:t>
            </w:r>
          </w:p>
          <w:p w14:paraId="216F6A80" w14:textId="249E1118" w:rsidR="009D312A" w:rsidRPr="003F2E68" w:rsidRDefault="009D312A" w:rsidP="006D2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also needs to evaluate services for water and effluent treatment. These are already inadequate according to NWW &amp; UU reports, with water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03747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nkered</w:t>
            </w:r>
            <w:proofErr w:type="spellEnd"/>
            <w:r>
              <w:rPr>
                <w:sz w:val="24"/>
                <w:szCs w:val="24"/>
              </w:rPr>
              <w:t xml:space="preserve"> into the local reservoir in droughts and </w:t>
            </w:r>
            <w:r w:rsidR="002D72DD">
              <w:rPr>
                <w:sz w:val="24"/>
                <w:szCs w:val="24"/>
              </w:rPr>
              <w:t>effluent spills into the High Lane discharge point off Andrew Lane.</w:t>
            </w:r>
          </w:p>
          <w:p w14:paraId="551A0659" w14:textId="77777777" w:rsidR="006D2B88" w:rsidRDefault="006D2B88" w:rsidP="006D2B88">
            <w:pPr>
              <w:rPr>
                <w:b/>
                <w:bCs/>
                <w:sz w:val="24"/>
                <w:szCs w:val="24"/>
              </w:rPr>
            </w:pPr>
            <w:r w:rsidRPr="006D2B88">
              <w:rPr>
                <w:b/>
                <w:bCs/>
                <w:sz w:val="24"/>
                <w:szCs w:val="24"/>
              </w:rPr>
              <w:t>6.</w:t>
            </w:r>
            <w:r w:rsidRPr="006D2B88">
              <w:rPr>
                <w:b/>
                <w:bCs/>
                <w:sz w:val="24"/>
                <w:szCs w:val="24"/>
              </w:rPr>
              <w:tab/>
              <w:t>Site risks: Mines, Flooding, etc.</w:t>
            </w:r>
          </w:p>
          <w:p w14:paraId="2B8BB7A9" w14:textId="3C89647C" w:rsidR="00D028B4" w:rsidRPr="00936501" w:rsidRDefault="00D028B4" w:rsidP="006D2B88">
            <w:pPr>
              <w:rPr>
                <w:sz w:val="24"/>
                <w:szCs w:val="24"/>
              </w:rPr>
            </w:pPr>
            <w:r w:rsidRPr="00936501">
              <w:rPr>
                <w:sz w:val="24"/>
                <w:szCs w:val="24"/>
              </w:rPr>
              <w:t xml:space="preserve">The allocation of the </w:t>
            </w:r>
            <w:r w:rsidR="002D72DD" w:rsidRPr="00936501">
              <w:rPr>
                <w:sz w:val="24"/>
                <w:szCs w:val="24"/>
              </w:rPr>
              <w:t>High Lane</w:t>
            </w:r>
            <w:r w:rsidRPr="00936501">
              <w:rPr>
                <w:sz w:val="24"/>
                <w:szCs w:val="24"/>
              </w:rPr>
              <w:t xml:space="preserve"> site </w:t>
            </w:r>
            <w:r w:rsidR="00683DA5" w:rsidRPr="00936501">
              <w:rPr>
                <w:sz w:val="24"/>
                <w:szCs w:val="24"/>
              </w:rPr>
              <w:t xml:space="preserve">appears to have </w:t>
            </w:r>
            <w:r w:rsidR="00936501" w:rsidRPr="00936501">
              <w:rPr>
                <w:sz w:val="24"/>
                <w:szCs w:val="24"/>
              </w:rPr>
              <w:t>underestimated</w:t>
            </w:r>
            <w:r w:rsidR="00683DA5" w:rsidRPr="00936501">
              <w:rPr>
                <w:sz w:val="24"/>
                <w:szCs w:val="24"/>
              </w:rPr>
              <w:t xml:space="preserve"> the risks from both mining hazards and site flooding. </w:t>
            </w:r>
            <w:r w:rsidR="00936501" w:rsidRPr="00936501">
              <w:rPr>
                <w:sz w:val="24"/>
                <w:szCs w:val="24"/>
              </w:rPr>
              <w:t>The Coal</w:t>
            </w:r>
            <w:r w:rsidRPr="00936501">
              <w:rPr>
                <w:sz w:val="24"/>
                <w:szCs w:val="24"/>
              </w:rPr>
              <w:t xml:space="preserve"> Authority report to HLVNF and the mines map resource</w:t>
            </w:r>
            <w:r w:rsidR="00683DA5" w:rsidRPr="00936501">
              <w:rPr>
                <w:sz w:val="24"/>
                <w:szCs w:val="24"/>
              </w:rPr>
              <w:t xml:space="preserve"> clearly show the 67 </w:t>
            </w:r>
            <w:r w:rsidR="00936501" w:rsidRPr="00936501">
              <w:rPr>
                <w:sz w:val="24"/>
                <w:szCs w:val="24"/>
              </w:rPr>
              <w:t>site entrances</w:t>
            </w:r>
            <w:r w:rsidR="00683DA5" w:rsidRPr="00936501">
              <w:rPr>
                <w:sz w:val="24"/>
                <w:szCs w:val="24"/>
              </w:rPr>
              <w:t xml:space="preserve"> in the </w:t>
            </w:r>
            <w:r w:rsidR="000D29E0" w:rsidRPr="00936501">
              <w:rPr>
                <w:sz w:val="24"/>
                <w:szCs w:val="24"/>
              </w:rPr>
              <w:t xml:space="preserve">High Lane area and zones of high risk. The </w:t>
            </w:r>
            <w:r w:rsidRPr="00936501">
              <w:rPr>
                <w:sz w:val="24"/>
                <w:szCs w:val="24"/>
              </w:rPr>
              <w:t xml:space="preserve">review the SFRA2 findings </w:t>
            </w:r>
            <w:r w:rsidR="000D29E0" w:rsidRPr="00936501">
              <w:rPr>
                <w:sz w:val="24"/>
                <w:szCs w:val="24"/>
              </w:rPr>
              <w:t xml:space="preserve">(Appendix 3 </w:t>
            </w:r>
            <w:r w:rsidR="00992304" w:rsidRPr="00936501">
              <w:rPr>
                <w:sz w:val="24"/>
                <w:szCs w:val="24"/>
              </w:rPr>
              <w:t>4.3.</w:t>
            </w:r>
            <w:r w:rsidR="00936501" w:rsidRPr="00936501">
              <w:rPr>
                <w:sz w:val="24"/>
                <w:szCs w:val="24"/>
              </w:rPr>
              <w:t>2</w:t>
            </w:r>
            <w:r w:rsidR="00992304" w:rsidRPr="00936501">
              <w:rPr>
                <w:sz w:val="24"/>
                <w:szCs w:val="24"/>
              </w:rPr>
              <w:t xml:space="preserve">) clear identifies the risk to the north of the sites for flood zones </w:t>
            </w:r>
            <w:r w:rsidR="00A90F9A" w:rsidRPr="00936501">
              <w:rPr>
                <w:sz w:val="24"/>
                <w:szCs w:val="24"/>
              </w:rPr>
              <w:t xml:space="preserve">2&amp;3 plus the zone 1 risk to most of the area. The </w:t>
            </w:r>
            <w:r w:rsidRPr="00936501">
              <w:rPr>
                <w:sz w:val="24"/>
                <w:szCs w:val="24"/>
              </w:rPr>
              <w:t>EA direction</w:t>
            </w:r>
            <w:r w:rsidR="00A90F9A" w:rsidRPr="00936501">
              <w:rPr>
                <w:sz w:val="24"/>
                <w:szCs w:val="24"/>
              </w:rPr>
              <w:t xml:space="preserve"> for a full </w:t>
            </w:r>
            <w:r w:rsidR="00936501" w:rsidRPr="00936501">
              <w:rPr>
                <w:sz w:val="24"/>
                <w:szCs w:val="24"/>
              </w:rPr>
              <w:t>“drainage strategy” will be required to prevent existing properties from flooding.</w:t>
            </w:r>
          </w:p>
          <w:p w14:paraId="2851B42E" w14:textId="62726690" w:rsidR="006D2B88" w:rsidRDefault="006D2B88" w:rsidP="006D2B88">
            <w:pPr>
              <w:rPr>
                <w:b/>
                <w:bCs/>
                <w:sz w:val="24"/>
                <w:szCs w:val="24"/>
              </w:rPr>
            </w:pPr>
            <w:r w:rsidRPr="006D2B88">
              <w:rPr>
                <w:b/>
                <w:bCs/>
                <w:sz w:val="24"/>
                <w:szCs w:val="24"/>
              </w:rPr>
              <w:t>7.</w:t>
            </w:r>
            <w:r w:rsidRPr="006D2B88">
              <w:rPr>
                <w:b/>
                <w:bCs/>
                <w:sz w:val="24"/>
                <w:szCs w:val="24"/>
              </w:rPr>
              <w:tab/>
              <w:t>Nature – Core green belt and habitat assessment &amp; Cheshire Wildlife Trust</w:t>
            </w:r>
          </w:p>
          <w:p w14:paraId="21CB2BCC" w14:textId="7E9BF635" w:rsidR="00DD7958" w:rsidRPr="00026197" w:rsidRDefault="006D2B88" w:rsidP="00591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assessment of </w:t>
            </w:r>
            <w:r w:rsidR="0096362B">
              <w:rPr>
                <w:sz w:val="24"/>
                <w:szCs w:val="24"/>
              </w:rPr>
              <w:t xml:space="preserve">used for </w:t>
            </w:r>
            <w:r w:rsidR="00A617FF">
              <w:rPr>
                <w:sz w:val="24"/>
                <w:szCs w:val="24"/>
              </w:rPr>
              <w:t xml:space="preserve">purpose C </w:t>
            </w:r>
            <w:r w:rsidR="005D4FC2" w:rsidRPr="005D4FC2">
              <w:rPr>
                <w:sz w:val="24"/>
                <w:szCs w:val="24"/>
              </w:rPr>
              <w:t>to assist in safeguarding the countryside from encroachment</w:t>
            </w:r>
            <w:r w:rsidR="005D4FC2">
              <w:rPr>
                <w:sz w:val="24"/>
                <w:szCs w:val="24"/>
              </w:rPr>
              <w:t xml:space="preserve">. This does </w:t>
            </w:r>
            <w:r w:rsidR="00FE3D50">
              <w:rPr>
                <w:sz w:val="24"/>
                <w:szCs w:val="24"/>
              </w:rPr>
              <w:t>appear to</w:t>
            </w:r>
            <w:r w:rsidR="00D646DC">
              <w:rPr>
                <w:sz w:val="24"/>
                <w:szCs w:val="24"/>
              </w:rPr>
              <w:t xml:space="preserve"> consider the following: The land south of A6 is core greenbelt </w:t>
            </w:r>
            <w:r w:rsidR="00BB1410">
              <w:rPr>
                <w:sz w:val="24"/>
                <w:szCs w:val="24"/>
              </w:rPr>
              <w:t>and</w:t>
            </w:r>
            <w:r w:rsidR="00D646DC">
              <w:rPr>
                <w:sz w:val="24"/>
                <w:szCs w:val="24"/>
              </w:rPr>
              <w:t xml:space="preserve"> protects the ancient </w:t>
            </w:r>
            <w:r w:rsidR="001206E5">
              <w:rPr>
                <w:sz w:val="24"/>
                <w:szCs w:val="24"/>
              </w:rPr>
              <w:t>woodlands</w:t>
            </w:r>
            <w:r w:rsidR="00D646DC">
              <w:rPr>
                <w:sz w:val="24"/>
                <w:szCs w:val="24"/>
              </w:rPr>
              <w:t xml:space="preserve"> to the south</w:t>
            </w:r>
            <w:r w:rsidR="001206E5">
              <w:rPr>
                <w:sz w:val="24"/>
                <w:szCs w:val="24"/>
              </w:rPr>
              <w:t xml:space="preserve">. The land north of A6 in HL7 is potential scrubland not enriched </w:t>
            </w:r>
            <w:r w:rsidR="002D72DD">
              <w:rPr>
                <w:sz w:val="24"/>
                <w:szCs w:val="24"/>
              </w:rPr>
              <w:t>farmland</w:t>
            </w:r>
            <w:r w:rsidR="001206E5">
              <w:rPr>
                <w:sz w:val="24"/>
                <w:szCs w:val="24"/>
              </w:rPr>
              <w:t xml:space="preserve"> and so of much greater biodiversity, which is unassessed. </w:t>
            </w:r>
          </w:p>
        </w:tc>
      </w:tr>
      <w:tr w:rsidR="00DC6121" w:rsidRPr="009A3F1C" w14:paraId="083F3618" w14:textId="77777777" w:rsidTr="00F80501">
        <w:trPr>
          <w:trHeight w:val="2263"/>
        </w:trPr>
        <w:tc>
          <w:tcPr>
            <w:tcW w:w="1135" w:type="dxa"/>
          </w:tcPr>
          <w:p w14:paraId="57747585" w14:textId="4EAC7878" w:rsidR="00DC6121" w:rsidRPr="009A3F1C" w:rsidRDefault="00DC6121" w:rsidP="00A113FE">
            <w:pPr>
              <w:rPr>
                <w:b/>
                <w:bCs/>
                <w:sz w:val="24"/>
                <w:szCs w:val="24"/>
              </w:rPr>
            </w:pPr>
            <w:r w:rsidRPr="009A3F1C">
              <w:rPr>
                <w:b/>
                <w:bCs/>
                <w:sz w:val="24"/>
                <w:szCs w:val="24"/>
              </w:rPr>
              <w:lastRenderedPageBreak/>
              <w:t>What should be done instead</w:t>
            </w:r>
          </w:p>
        </w:tc>
        <w:tc>
          <w:tcPr>
            <w:tcW w:w="9639" w:type="dxa"/>
            <w:gridSpan w:val="2"/>
          </w:tcPr>
          <w:p w14:paraId="4FE73024" w14:textId="22D52C27" w:rsidR="00E31A5A" w:rsidRDefault="00E31A5A" w:rsidP="00A113FE">
            <w:pPr>
              <w:rPr>
                <w:sz w:val="24"/>
                <w:szCs w:val="24"/>
              </w:rPr>
            </w:pPr>
            <w:r w:rsidRPr="003F2E68">
              <w:rPr>
                <w:b/>
                <w:bCs/>
                <w:sz w:val="24"/>
                <w:szCs w:val="24"/>
              </w:rPr>
              <w:t>1</w:t>
            </w:r>
            <w:r w:rsidR="001F3B87" w:rsidRPr="003F2E68">
              <w:rPr>
                <w:b/>
                <w:bCs/>
                <w:sz w:val="24"/>
                <w:szCs w:val="24"/>
              </w:rPr>
              <w:t xml:space="preserve"> Re</w:t>
            </w:r>
            <w:r w:rsidR="00467AD8" w:rsidRPr="003F2E68">
              <w:rPr>
                <w:b/>
                <w:bCs/>
                <w:sz w:val="24"/>
                <w:szCs w:val="24"/>
              </w:rPr>
              <w:t>view</w:t>
            </w:r>
            <w:r w:rsidR="001F3B87" w:rsidRPr="003F2E68">
              <w:rPr>
                <w:b/>
                <w:bCs/>
                <w:sz w:val="24"/>
                <w:szCs w:val="24"/>
              </w:rPr>
              <w:t xml:space="preserve"> </w:t>
            </w:r>
            <w:r w:rsidR="00FE3D50" w:rsidRPr="003F2E68">
              <w:rPr>
                <w:b/>
                <w:bCs/>
                <w:sz w:val="24"/>
                <w:szCs w:val="24"/>
              </w:rPr>
              <w:t xml:space="preserve">the Green Belt Assessment </w:t>
            </w:r>
            <w:r w:rsidR="00AB17F1" w:rsidRPr="003F2E68">
              <w:rPr>
                <w:b/>
                <w:bCs/>
                <w:sz w:val="24"/>
                <w:szCs w:val="24"/>
              </w:rPr>
              <w:t xml:space="preserve">and </w:t>
            </w:r>
            <w:r w:rsidR="00FE3D50" w:rsidRPr="003F2E68">
              <w:rPr>
                <w:b/>
                <w:bCs/>
                <w:sz w:val="24"/>
                <w:szCs w:val="24"/>
              </w:rPr>
              <w:t>grey belt decision</w:t>
            </w:r>
            <w:r w:rsidR="00FE3D50">
              <w:rPr>
                <w:sz w:val="24"/>
                <w:szCs w:val="24"/>
              </w:rPr>
              <w:t xml:space="preserve">, rating as medium and justification for allocation of HL 7 &amp; 8 for potential </w:t>
            </w:r>
            <w:r w:rsidR="00AB17F1">
              <w:rPr>
                <w:sz w:val="24"/>
                <w:szCs w:val="24"/>
              </w:rPr>
              <w:t>development. Apply greater consistency of rating and transparent of allocation.</w:t>
            </w:r>
          </w:p>
          <w:p w14:paraId="4F8F2825" w14:textId="77777777" w:rsidR="00EB461C" w:rsidRPr="00603AC7" w:rsidRDefault="00EB461C" w:rsidP="00EB461C">
            <w:pPr>
              <w:rPr>
                <w:b/>
                <w:bCs/>
                <w:sz w:val="24"/>
                <w:szCs w:val="24"/>
              </w:rPr>
            </w:pPr>
            <w:r w:rsidRPr="00603AC7">
              <w:rPr>
                <w:b/>
                <w:bCs/>
                <w:sz w:val="24"/>
                <w:szCs w:val="24"/>
              </w:rPr>
              <w:t>2.</w:t>
            </w:r>
            <w:r w:rsidRPr="00603AC7">
              <w:rPr>
                <w:b/>
                <w:bCs/>
                <w:sz w:val="24"/>
                <w:szCs w:val="24"/>
              </w:rPr>
              <w:tab/>
              <w:t>Rural village - site allocated when urban gey belt has more infrastructure</w:t>
            </w:r>
          </w:p>
          <w:p w14:paraId="72CD856D" w14:textId="7D6CD6A1" w:rsidR="00EB461C" w:rsidRPr="00EB461C" w:rsidRDefault="00EB461C" w:rsidP="00EB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</w:t>
            </w:r>
            <w:r w:rsidR="001C25D8">
              <w:rPr>
                <w:sz w:val="24"/>
                <w:szCs w:val="24"/>
              </w:rPr>
              <w:t xml:space="preserve">the rationale and clarity for allocations. Move part or </w:t>
            </w:r>
            <w:r w:rsidR="00BB1410">
              <w:rPr>
                <w:sz w:val="24"/>
                <w:szCs w:val="24"/>
              </w:rPr>
              <w:t>all</w:t>
            </w:r>
            <w:r w:rsidR="001C25D8">
              <w:rPr>
                <w:sz w:val="24"/>
                <w:szCs w:val="24"/>
              </w:rPr>
              <w:t xml:space="preserve"> the 1,000 homes to </w:t>
            </w:r>
            <w:r w:rsidR="00603AC7">
              <w:rPr>
                <w:sz w:val="24"/>
                <w:szCs w:val="24"/>
              </w:rPr>
              <w:t>grey</w:t>
            </w:r>
            <w:r w:rsidR="001C25D8">
              <w:rPr>
                <w:sz w:val="24"/>
                <w:szCs w:val="24"/>
              </w:rPr>
              <w:t xml:space="preserve"> belt adjacent to </w:t>
            </w:r>
            <w:r w:rsidR="00603AC7">
              <w:rPr>
                <w:sz w:val="24"/>
                <w:szCs w:val="24"/>
              </w:rPr>
              <w:t>urban areas outside our HLVNF Designated area.</w:t>
            </w:r>
          </w:p>
          <w:p w14:paraId="4203FF6A" w14:textId="3B0A1AB4" w:rsidR="00EB461C" w:rsidRPr="00E12AE8" w:rsidRDefault="00EB461C" w:rsidP="00EB461C">
            <w:pPr>
              <w:rPr>
                <w:b/>
                <w:bCs/>
                <w:sz w:val="24"/>
                <w:szCs w:val="24"/>
              </w:rPr>
            </w:pPr>
            <w:r w:rsidRPr="00E12AE8">
              <w:rPr>
                <w:b/>
                <w:bCs/>
                <w:sz w:val="24"/>
                <w:szCs w:val="24"/>
              </w:rPr>
              <w:t>3.</w:t>
            </w:r>
            <w:r w:rsidRPr="00E12AE8">
              <w:rPr>
                <w:b/>
                <w:bCs/>
                <w:sz w:val="24"/>
                <w:szCs w:val="24"/>
              </w:rPr>
              <w:tab/>
              <w:t>Allocation size: 1,000 homes</w:t>
            </w:r>
          </w:p>
          <w:p w14:paraId="11CE0B65" w14:textId="13D292F9" w:rsidR="00603AC7" w:rsidRPr="00EB461C" w:rsidRDefault="00355C25" w:rsidP="00EB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the scale and impact of the allocated site </w:t>
            </w:r>
            <w:r w:rsidR="00400397">
              <w:rPr>
                <w:sz w:val="24"/>
                <w:szCs w:val="24"/>
              </w:rPr>
              <w:t xml:space="preserve">so proportionate to the village and its sustainable </w:t>
            </w:r>
            <w:r w:rsidR="00C541A7">
              <w:rPr>
                <w:sz w:val="24"/>
                <w:szCs w:val="24"/>
              </w:rPr>
              <w:t>growth.</w:t>
            </w:r>
            <w:r w:rsidR="0025669E">
              <w:rPr>
                <w:sz w:val="24"/>
                <w:szCs w:val="24"/>
              </w:rPr>
              <w:t xml:space="preserve"> </w:t>
            </w:r>
          </w:p>
          <w:p w14:paraId="2E6A5588" w14:textId="77777777" w:rsidR="00EB461C" w:rsidRPr="00E12AE8" w:rsidRDefault="00EB461C" w:rsidP="00EB461C">
            <w:pPr>
              <w:rPr>
                <w:b/>
                <w:bCs/>
                <w:sz w:val="24"/>
                <w:szCs w:val="24"/>
              </w:rPr>
            </w:pPr>
            <w:r w:rsidRPr="00E12AE8">
              <w:rPr>
                <w:b/>
                <w:bCs/>
                <w:sz w:val="24"/>
                <w:szCs w:val="24"/>
              </w:rPr>
              <w:t>4.</w:t>
            </w:r>
            <w:r w:rsidRPr="00E12AE8">
              <w:rPr>
                <w:b/>
                <w:bCs/>
                <w:sz w:val="24"/>
                <w:szCs w:val="24"/>
              </w:rPr>
              <w:tab/>
              <w:t>Transport – A6 traffic, busses &amp; trains</w:t>
            </w:r>
          </w:p>
          <w:p w14:paraId="6E82CB13" w14:textId="134D072E" w:rsidR="00C541A7" w:rsidRPr="00EB461C" w:rsidRDefault="00C541A7" w:rsidP="00EB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the impact of </w:t>
            </w:r>
            <w:r w:rsidR="004C267B">
              <w:rPr>
                <w:sz w:val="24"/>
                <w:szCs w:val="24"/>
              </w:rPr>
              <w:t xml:space="preserve">the site scale and A6 access on road users, the community </w:t>
            </w:r>
            <w:r w:rsidR="00E12AE8">
              <w:rPr>
                <w:sz w:val="24"/>
                <w:szCs w:val="24"/>
              </w:rPr>
              <w:t xml:space="preserve">health </w:t>
            </w:r>
            <w:r w:rsidR="004C267B">
              <w:rPr>
                <w:sz w:val="24"/>
                <w:szCs w:val="24"/>
              </w:rPr>
              <w:t xml:space="preserve">and the local economy through congestion, </w:t>
            </w:r>
            <w:r w:rsidR="00C0507C">
              <w:rPr>
                <w:sz w:val="24"/>
                <w:szCs w:val="24"/>
              </w:rPr>
              <w:t>delays,</w:t>
            </w:r>
            <w:r w:rsidR="004C267B">
              <w:rPr>
                <w:sz w:val="24"/>
                <w:szCs w:val="24"/>
              </w:rPr>
              <w:t xml:space="preserve"> and pollution. </w:t>
            </w:r>
            <w:r w:rsidRPr="00C541A7">
              <w:rPr>
                <w:sz w:val="24"/>
                <w:szCs w:val="24"/>
              </w:rPr>
              <w:t>Consider NPPF 110 more closely in that decision.</w:t>
            </w:r>
          </w:p>
          <w:p w14:paraId="40601BF2" w14:textId="56C34E5C" w:rsidR="00EB461C" w:rsidRDefault="00EB461C" w:rsidP="00EB461C">
            <w:pPr>
              <w:rPr>
                <w:b/>
                <w:bCs/>
                <w:sz w:val="24"/>
                <w:szCs w:val="24"/>
              </w:rPr>
            </w:pPr>
            <w:r w:rsidRPr="00E12AE8">
              <w:rPr>
                <w:b/>
                <w:bCs/>
                <w:sz w:val="24"/>
                <w:szCs w:val="24"/>
              </w:rPr>
              <w:t>5.</w:t>
            </w:r>
            <w:r w:rsidRPr="00E12AE8">
              <w:rPr>
                <w:b/>
                <w:bCs/>
                <w:sz w:val="24"/>
                <w:szCs w:val="24"/>
              </w:rPr>
              <w:tab/>
              <w:t xml:space="preserve">Infrastructure – Medical, schools etc </w:t>
            </w:r>
          </w:p>
          <w:p w14:paraId="30F063CD" w14:textId="21D027D8" w:rsidR="00E12AE8" w:rsidRPr="009422CA" w:rsidRDefault="00E12AE8" w:rsidP="00EB461C">
            <w:pPr>
              <w:rPr>
                <w:sz w:val="24"/>
                <w:szCs w:val="24"/>
              </w:rPr>
            </w:pPr>
            <w:r w:rsidRPr="009422CA">
              <w:rPr>
                <w:sz w:val="24"/>
                <w:szCs w:val="24"/>
              </w:rPr>
              <w:t xml:space="preserve">Re-consider the scale of development and the impact of 40% more people on </w:t>
            </w:r>
            <w:r w:rsidR="009422CA" w:rsidRPr="009422CA">
              <w:rPr>
                <w:sz w:val="24"/>
                <w:szCs w:val="24"/>
              </w:rPr>
              <w:t>local</w:t>
            </w:r>
            <w:r w:rsidR="00104893" w:rsidRPr="009422CA">
              <w:rPr>
                <w:sz w:val="24"/>
                <w:szCs w:val="24"/>
              </w:rPr>
              <w:t xml:space="preserve"> essential services. If development is planned ensure these services are implemented </w:t>
            </w:r>
            <w:r w:rsidR="00F17163">
              <w:rPr>
                <w:sz w:val="24"/>
                <w:szCs w:val="24"/>
              </w:rPr>
              <w:t>first</w:t>
            </w:r>
            <w:r w:rsidR="00503270">
              <w:rPr>
                <w:sz w:val="24"/>
                <w:szCs w:val="24"/>
              </w:rPr>
              <w:t>.</w:t>
            </w:r>
          </w:p>
          <w:p w14:paraId="421CEF13" w14:textId="77777777" w:rsidR="00EB461C" w:rsidRDefault="00EB461C" w:rsidP="00EB461C">
            <w:pPr>
              <w:rPr>
                <w:b/>
                <w:bCs/>
                <w:sz w:val="24"/>
                <w:szCs w:val="24"/>
              </w:rPr>
            </w:pPr>
            <w:r w:rsidRPr="009422CA">
              <w:rPr>
                <w:b/>
                <w:bCs/>
                <w:sz w:val="24"/>
                <w:szCs w:val="24"/>
              </w:rPr>
              <w:t>6.</w:t>
            </w:r>
            <w:r w:rsidRPr="009422CA">
              <w:rPr>
                <w:b/>
                <w:bCs/>
                <w:sz w:val="24"/>
                <w:szCs w:val="24"/>
              </w:rPr>
              <w:tab/>
              <w:t>Site risks: Mines, Flooding, etc.</w:t>
            </w:r>
          </w:p>
          <w:p w14:paraId="2F22A6D6" w14:textId="5EA4D244" w:rsidR="009422CA" w:rsidRPr="009422CA" w:rsidRDefault="009422CA" w:rsidP="00EB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in detail the suitability of the site</w:t>
            </w:r>
            <w:r w:rsidR="001076EF">
              <w:rPr>
                <w:sz w:val="24"/>
                <w:szCs w:val="24"/>
              </w:rPr>
              <w:t xml:space="preserve"> and parcels HL 7 &amp; HL 8 for allocation and development based on clear risks evidence by both the Coal Authority report to HLVNF and the mines map resource. Also </w:t>
            </w:r>
            <w:r w:rsidR="00D71C44">
              <w:rPr>
                <w:sz w:val="24"/>
                <w:szCs w:val="24"/>
              </w:rPr>
              <w:t xml:space="preserve">review the SFRA2 findings and EA direction of what any development would require, prior to implementation. </w:t>
            </w:r>
          </w:p>
          <w:p w14:paraId="217A1F3E" w14:textId="6B0C95C6" w:rsidR="00EB461C" w:rsidRPr="00D71C44" w:rsidRDefault="00EB461C" w:rsidP="00EB461C">
            <w:pPr>
              <w:rPr>
                <w:b/>
                <w:bCs/>
                <w:sz w:val="24"/>
                <w:szCs w:val="24"/>
              </w:rPr>
            </w:pPr>
            <w:r w:rsidRPr="00D71C44">
              <w:rPr>
                <w:b/>
                <w:bCs/>
                <w:sz w:val="24"/>
                <w:szCs w:val="24"/>
              </w:rPr>
              <w:t>7.</w:t>
            </w:r>
            <w:r w:rsidRPr="00D71C44">
              <w:rPr>
                <w:b/>
                <w:bCs/>
                <w:sz w:val="24"/>
                <w:szCs w:val="24"/>
              </w:rPr>
              <w:tab/>
              <w:t>Nature – Core green belt and habitat assessment &amp; Cheshire Wildlife Trust</w:t>
            </w:r>
          </w:p>
          <w:p w14:paraId="470BA336" w14:textId="1B251A8E" w:rsidR="00DC6121" w:rsidRPr="009A3F1C" w:rsidRDefault="00D71C44" w:rsidP="00A11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the </w:t>
            </w:r>
            <w:r w:rsidR="00BB1410">
              <w:rPr>
                <w:sz w:val="24"/>
                <w:szCs w:val="24"/>
              </w:rPr>
              <w:t>inadequate</w:t>
            </w:r>
            <w:r>
              <w:rPr>
                <w:sz w:val="24"/>
                <w:szCs w:val="24"/>
              </w:rPr>
              <w:t xml:space="preserve"> </w:t>
            </w:r>
            <w:r w:rsidR="000A1A7B" w:rsidRPr="000A1A7B">
              <w:rPr>
                <w:sz w:val="24"/>
                <w:szCs w:val="24"/>
              </w:rPr>
              <w:t xml:space="preserve">Habitat Regulations Assessment </w:t>
            </w:r>
            <w:r w:rsidR="000A1A7B">
              <w:rPr>
                <w:sz w:val="24"/>
                <w:szCs w:val="24"/>
              </w:rPr>
              <w:t>by WSP. Refer to both the CWT report a</w:t>
            </w:r>
            <w:r w:rsidR="00044551">
              <w:rPr>
                <w:sz w:val="24"/>
                <w:szCs w:val="24"/>
              </w:rPr>
              <w:t xml:space="preserve">nnex </w:t>
            </w:r>
            <w:r w:rsidR="0026683F">
              <w:rPr>
                <w:sz w:val="24"/>
                <w:szCs w:val="24"/>
              </w:rPr>
              <w:t xml:space="preserve">and </w:t>
            </w:r>
            <w:r w:rsidR="00044551">
              <w:rPr>
                <w:sz w:val="24"/>
                <w:szCs w:val="24"/>
              </w:rPr>
              <w:t>to the HLVNF Plan</w:t>
            </w:r>
            <w:r w:rsidR="002805C1">
              <w:rPr>
                <w:sz w:val="24"/>
                <w:szCs w:val="24"/>
              </w:rPr>
              <w:t xml:space="preserve"> </w:t>
            </w:r>
            <w:r w:rsidR="00BF3F46">
              <w:rPr>
                <w:sz w:val="24"/>
                <w:szCs w:val="24"/>
              </w:rPr>
              <w:t>Policy NH2</w:t>
            </w:r>
            <w:r w:rsidR="00C0507C">
              <w:rPr>
                <w:sz w:val="24"/>
                <w:szCs w:val="24"/>
              </w:rPr>
              <w:t xml:space="preserve">. </w:t>
            </w:r>
            <w:r w:rsidR="008A1363">
              <w:rPr>
                <w:sz w:val="24"/>
                <w:szCs w:val="24"/>
              </w:rPr>
              <w:t xml:space="preserve">The ecology and </w:t>
            </w:r>
            <w:r w:rsidR="00E0518C">
              <w:rPr>
                <w:sz w:val="24"/>
                <w:szCs w:val="24"/>
              </w:rPr>
              <w:t xml:space="preserve">protection of habitats, amenities and </w:t>
            </w:r>
          </w:p>
        </w:tc>
      </w:tr>
    </w:tbl>
    <w:p w14:paraId="5E080212" w14:textId="59FC62A6" w:rsidR="00591079" w:rsidRPr="00426BF1" w:rsidRDefault="00E046A0" w:rsidP="00AE4F78">
      <w:pPr>
        <w:rPr>
          <w:rStyle w:val="Strong"/>
          <w:sz w:val="28"/>
          <w:szCs w:val="28"/>
        </w:rPr>
      </w:pPr>
      <w:r w:rsidRPr="00426BF1">
        <w:rPr>
          <w:b/>
          <w:bCs/>
          <w:sz w:val="28"/>
          <w:szCs w:val="28"/>
        </w:rPr>
        <w:t>S</w:t>
      </w:r>
      <w:r w:rsidR="0065563E" w:rsidRPr="00426BF1">
        <w:rPr>
          <w:b/>
          <w:bCs/>
          <w:sz w:val="28"/>
          <w:szCs w:val="28"/>
        </w:rPr>
        <w:t>ign up</w:t>
      </w:r>
      <w:r w:rsidR="000C0F33" w:rsidRPr="00426BF1">
        <w:rPr>
          <w:b/>
          <w:bCs/>
          <w:sz w:val="28"/>
          <w:szCs w:val="28"/>
        </w:rPr>
        <w:t xml:space="preserve"> at </w:t>
      </w:r>
      <w:r w:rsidR="009F65CA" w:rsidRPr="00426BF1">
        <w:rPr>
          <w:b/>
          <w:bCs/>
          <w:sz w:val="28"/>
          <w:szCs w:val="28"/>
        </w:rPr>
        <w:t xml:space="preserve"> </w:t>
      </w:r>
      <w:hyperlink r:id="rId7" w:history="1">
        <w:r w:rsidR="005B0699" w:rsidRPr="00426BF1">
          <w:rPr>
            <w:rStyle w:val="Hyperlink"/>
            <w:b/>
            <w:bCs/>
            <w:sz w:val="28"/>
            <w:szCs w:val="28"/>
          </w:rPr>
          <w:t>ourforum@hlvnf.org</w:t>
        </w:r>
      </w:hyperlink>
      <w:r w:rsidR="005B0699" w:rsidRPr="00426BF1">
        <w:rPr>
          <w:b/>
          <w:bCs/>
          <w:sz w:val="28"/>
          <w:szCs w:val="28"/>
        </w:rPr>
        <w:t xml:space="preserve"> </w:t>
      </w:r>
      <w:r w:rsidR="000C0F33" w:rsidRPr="00426BF1">
        <w:rPr>
          <w:b/>
          <w:bCs/>
          <w:sz w:val="28"/>
          <w:szCs w:val="28"/>
        </w:rPr>
        <w:t xml:space="preserve">for more response </w:t>
      </w:r>
      <w:r w:rsidR="00337670" w:rsidRPr="00426BF1">
        <w:rPr>
          <w:b/>
          <w:bCs/>
          <w:sz w:val="28"/>
          <w:szCs w:val="28"/>
        </w:rPr>
        <w:t>information</w:t>
      </w:r>
      <w:r w:rsidR="00CB6CC3" w:rsidRPr="00426BF1">
        <w:rPr>
          <w:b/>
          <w:bCs/>
          <w:sz w:val="28"/>
          <w:szCs w:val="28"/>
        </w:rPr>
        <w:t xml:space="preserve"> before the </w:t>
      </w:r>
      <w:r w:rsidR="00426BF1" w:rsidRPr="00426BF1">
        <w:rPr>
          <w:b/>
          <w:bCs/>
          <w:sz w:val="28"/>
          <w:szCs w:val="28"/>
        </w:rPr>
        <w:t>deadline.</w:t>
      </w:r>
    </w:p>
    <w:sectPr w:rsidR="00591079" w:rsidRPr="00426BF1" w:rsidSect="009A3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54F62"/>
    <w:multiLevelType w:val="hybridMultilevel"/>
    <w:tmpl w:val="2BBA0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FCB"/>
    <w:multiLevelType w:val="hybridMultilevel"/>
    <w:tmpl w:val="A6E2D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91548">
    <w:abstractNumId w:val="1"/>
  </w:num>
  <w:num w:numId="2" w16cid:durableId="16786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16"/>
    <w:rsid w:val="00023DA8"/>
    <w:rsid w:val="00026197"/>
    <w:rsid w:val="00037470"/>
    <w:rsid w:val="00044551"/>
    <w:rsid w:val="00093FEE"/>
    <w:rsid w:val="000974E1"/>
    <w:rsid w:val="000A1A7B"/>
    <w:rsid w:val="000C0F33"/>
    <w:rsid w:val="000C2378"/>
    <w:rsid w:val="000D29E0"/>
    <w:rsid w:val="00104893"/>
    <w:rsid w:val="001076EF"/>
    <w:rsid w:val="001206E5"/>
    <w:rsid w:val="00123CA5"/>
    <w:rsid w:val="001253AF"/>
    <w:rsid w:val="00126524"/>
    <w:rsid w:val="00132913"/>
    <w:rsid w:val="00154B4C"/>
    <w:rsid w:val="00155D65"/>
    <w:rsid w:val="00186AB9"/>
    <w:rsid w:val="0019383A"/>
    <w:rsid w:val="001A10E3"/>
    <w:rsid w:val="001B40B6"/>
    <w:rsid w:val="001C25D8"/>
    <w:rsid w:val="001E4A9B"/>
    <w:rsid w:val="001E7CB7"/>
    <w:rsid w:val="001F38B5"/>
    <w:rsid w:val="001F3B87"/>
    <w:rsid w:val="0020329F"/>
    <w:rsid w:val="002240F3"/>
    <w:rsid w:val="002556AE"/>
    <w:rsid w:val="0025669E"/>
    <w:rsid w:val="00260728"/>
    <w:rsid w:val="0026683F"/>
    <w:rsid w:val="002805C1"/>
    <w:rsid w:val="002833C4"/>
    <w:rsid w:val="002B3624"/>
    <w:rsid w:val="002C08E3"/>
    <w:rsid w:val="002C1412"/>
    <w:rsid w:val="002C47FF"/>
    <w:rsid w:val="002D4DEA"/>
    <w:rsid w:val="002D72DD"/>
    <w:rsid w:val="002E5143"/>
    <w:rsid w:val="002F2C7C"/>
    <w:rsid w:val="00337670"/>
    <w:rsid w:val="00355C25"/>
    <w:rsid w:val="003646E9"/>
    <w:rsid w:val="00372370"/>
    <w:rsid w:val="0039484D"/>
    <w:rsid w:val="0039726D"/>
    <w:rsid w:val="003A1CD8"/>
    <w:rsid w:val="003F2833"/>
    <w:rsid w:val="003F2E68"/>
    <w:rsid w:val="003F336E"/>
    <w:rsid w:val="003F477D"/>
    <w:rsid w:val="00400397"/>
    <w:rsid w:val="00426BF1"/>
    <w:rsid w:val="00434A4B"/>
    <w:rsid w:val="00465B54"/>
    <w:rsid w:val="00467AD8"/>
    <w:rsid w:val="0048058D"/>
    <w:rsid w:val="00484F6E"/>
    <w:rsid w:val="004B7F75"/>
    <w:rsid w:val="004C267B"/>
    <w:rsid w:val="004C7494"/>
    <w:rsid w:val="004D1117"/>
    <w:rsid w:val="004F5F16"/>
    <w:rsid w:val="00503270"/>
    <w:rsid w:val="005100F1"/>
    <w:rsid w:val="005126A8"/>
    <w:rsid w:val="00523BB6"/>
    <w:rsid w:val="0052530C"/>
    <w:rsid w:val="00534DDA"/>
    <w:rsid w:val="0055570D"/>
    <w:rsid w:val="005768BB"/>
    <w:rsid w:val="0058547F"/>
    <w:rsid w:val="00591079"/>
    <w:rsid w:val="00592991"/>
    <w:rsid w:val="00597F0B"/>
    <w:rsid w:val="005B0699"/>
    <w:rsid w:val="005C0B5B"/>
    <w:rsid w:val="005D0820"/>
    <w:rsid w:val="005D4FC2"/>
    <w:rsid w:val="00603AC7"/>
    <w:rsid w:val="006224D4"/>
    <w:rsid w:val="0062457D"/>
    <w:rsid w:val="00624D88"/>
    <w:rsid w:val="0063308A"/>
    <w:rsid w:val="0063635E"/>
    <w:rsid w:val="0065563E"/>
    <w:rsid w:val="00656231"/>
    <w:rsid w:val="0066529D"/>
    <w:rsid w:val="00670175"/>
    <w:rsid w:val="0068310A"/>
    <w:rsid w:val="00683DA5"/>
    <w:rsid w:val="006920BB"/>
    <w:rsid w:val="006B1E3B"/>
    <w:rsid w:val="006B7EF4"/>
    <w:rsid w:val="006D2B88"/>
    <w:rsid w:val="006D338C"/>
    <w:rsid w:val="006D50B9"/>
    <w:rsid w:val="006E0D8F"/>
    <w:rsid w:val="006F5708"/>
    <w:rsid w:val="00706C46"/>
    <w:rsid w:val="007127C0"/>
    <w:rsid w:val="00736732"/>
    <w:rsid w:val="00751515"/>
    <w:rsid w:val="0077434F"/>
    <w:rsid w:val="00797BD7"/>
    <w:rsid w:val="007A7424"/>
    <w:rsid w:val="007B2321"/>
    <w:rsid w:val="007E5D14"/>
    <w:rsid w:val="007E695A"/>
    <w:rsid w:val="0081235A"/>
    <w:rsid w:val="00837338"/>
    <w:rsid w:val="00880AE0"/>
    <w:rsid w:val="008879D0"/>
    <w:rsid w:val="008A1363"/>
    <w:rsid w:val="008A6F95"/>
    <w:rsid w:val="008B7BDD"/>
    <w:rsid w:val="008E100F"/>
    <w:rsid w:val="00936501"/>
    <w:rsid w:val="009422CA"/>
    <w:rsid w:val="0096358E"/>
    <w:rsid w:val="0096362B"/>
    <w:rsid w:val="00976E9B"/>
    <w:rsid w:val="00992304"/>
    <w:rsid w:val="009A3F1C"/>
    <w:rsid w:val="009D312A"/>
    <w:rsid w:val="009E10D1"/>
    <w:rsid w:val="009F65CA"/>
    <w:rsid w:val="009F70C7"/>
    <w:rsid w:val="00A03175"/>
    <w:rsid w:val="00A113FE"/>
    <w:rsid w:val="00A13B35"/>
    <w:rsid w:val="00A16F63"/>
    <w:rsid w:val="00A40D94"/>
    <w:rsid w:val="00A54A22"/>
    <w:rsid w:val="00A617FF"/>
    <w:rsid w:val="00A67145"/>
    <w:rsid w:val="00A90F9A"/>
    <w:rsid w:val="00AA329C"/>
    <w:rsid w:val="00AB0A93"/>
    <w:rsid w:val="00AB17F1"/>
    <w:rsid w:val="00AD36EF"/>
    <w:rsid w:val="00AD44A7"/>
    <w:rsid w:val="00AE156C"/>
    <w:rsid w:val="00AE4F78"/>
    <w:rsid w:val="00AE5BEC"/>
    <w:rsid w:val="00AE7469"/>
    <w:rsid w:val="00B06254"/>
    <w:rsid w:val="00B1084D"/>
    <w:rsid w:val="00B217CD"/>
    <w:rsid w:val="00B31BAA"/>
    <w:rsid w:val="00B33C93"/>
    <w:rsid w:val="00B3541F"/>
    <w:rsid w:val="00B624B2"/>
    <w:rsid w:val="00B64AC4"/>
    <w:rsid w:val="00B97015"/>
    <w:rsid w:val="00BA4B30"/>
    <w:rsid w:val="00BB1410"/>
    <w:rsid w:val="00BC507C"/>
    <w:rsid w:val="00BC549D"/>
    <w:rsid w:val="00BC7C09"/>
    <w:rsid w:val="00BD2FDC"/>
    <w:rsid w:val="00BF0C06"/>
    <w:rsid w:val="00BF3F46"/>
    <w:rsid w:val="00BF4C28"/>
    <w:rsid w:val="00C04F77"/>
    <w:rsid w:val="00C0507C"/>
    <w:rsid w:val="00C5381D"/>
    <w:rsid w:val="00C541A7"/>
    <w:rsid w:val="00C61B79"/>
    <w:rsid w:val="00C75F76"/>
    <w:rsid w:val="00CA563D"/>
    <w:rsid w:val="00CB6CC3"/>
    <w:rsid w:val="00CB6F6B"/>
    <w:rsid w:val="00CE1180"/>
    <w:rsid w:val="00CE20C4"/>
    <w:rsid w:val="00CE2A57"/>
    <w:rsid w:val="00CE45F8"/>
    <w:rsid w:val="00CF62A7"/>
    <w:rsid w:val="00D028B4"/>
    <w:rsid w:val="00D404FD"/>
    <w:rsid w:val="00D45055"/>
    <w:rsid w:val="00D4589F"/>
    <w:rsid w:val="00D54F3B"/>
    <w:rsid w:val="00D646DC"/>
    <w:rsid w:val="00D71C44"/>
    <w:rsid w:val="00D835AF"/>
    <w:rsid w:val="00D92336"/>
    <w:rsid w:val="00D97388"/>
    <w:rsid w:val="00DA2807"/>
    <w:rsid w:val="00DA65E8"/>
    <w:rsid w:val="00DC6121"/>
    <w:rsid w:val="00DD50F0"/>
    <w:rsid w:val="00DD777F"/>
    <w:rsid w:val="00DD7958"/>
    <w:rsid w:val="00DF09ED"/>
    <w:rsid w:val="00DF29CE"/>
    <w:rsid w:val="00DF2B7C"/>
    <w:rsid w:val="00DF5380"/>
    <w:rsid w:val="00E02B87"/>
    <w:rsid w:val="00E046A0"/>
    <w:rsid w:val="00E0518C"/>
    <w:rsid w:val="00E12AE8"/>
    <w:rsid w:val="00E31A5A"/>
    <w:rsid w:val="00E56834"/>
    <w:rsid w:val="00E571EF"/>
    <w:rsid w:val="00E948F2"/>
    <w:rsid w:val="00E95692"/>
    <w:rsid w:val="00E9569E"/>
    <w:rsid w:val="00EB1CA9"/>
    <w:rsid w:val="00EB461C"/>
    <w:rsid w:val="00EC7F7E"/>
    <w:rsid w:val="00ED779F"/>
    <w:rsid w:val="00F17163"/>
    <w:rsid w:val="00F35F14"/>
    <w:rsid w:val="00F52FB6"/>
    <w:rsid w:val="00F80501"/>
    <w:rsid w:val="00F8068F"/>
    <w:rsid w:val="00F847A4"/>
    <w:rsid w:val="00FD7B1C"/>
    <w:rsid w:val="00FE3D50"/>
    <w:rsid w:val="00F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0037"/>
  <w15:chartTrackingRefBased/>
  <w15:docId w15:val="{E6C0048B-E0E8-4BD0-9847-5549EB6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AB9"/>
  </w:style>
  <w:style w:type="paragraph" w:styleId="Heading1">
    <w:name w:val="heading 1"/>
    <w:basedOn w:val="Normal"/>
    <w:next w:val="Normal"/>
    <w:link w:val="Heading1Char"/>
    <w:uiPriority w:val="9"/>
    <w:qFormat/>
    <w:rsid w:val="004F5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5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5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F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5F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F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B3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0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6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rforum@hlvn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cal.plan@stockport.gov.uk" TargetMode="External"/><Relationship Id="rId5" Type="http://schemas.openxmlformats.org/officeDocument/2006/relationships/hyperlink" Target="https://localplan.stockport.gov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1030</Words>
  <Characters>5381</Characters>
  <Application>Microsoft Office Word</Application>
  <DocSecurity>0</DocSecurity>
  <Lines>114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Jones</dc:creator>
  <cp:keywords/>
  <dc:description/>
  <cp:lastModifiedBy>R Jones</cp:lastModifiedBy>
  <cp:revision>164</cp:revision>
  <cp:lastPrinted>2025-11-22T12:06:00Z</cp:lastPrinted>
  <dcterms:created xsi:type="dcterms:W3CDTF">2025-11-04T22:18:00Z</dcterms:created>
  <dcterms:modified xsi:type="dcterms:W3CDTF">2025-11-22T12:06:00Z</dcterms:modified>
</cp:coreProperties>
</file>